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75" w:rsidRPr="00611DC2" w:rsidRDefault="00811075" w:rsidP="00453124">
      <w:pPr>
        <w:jc w:val="right"/>
        <w:rPr>
          <w:rFonts w:ascii="Garamond" w:hAnsi="Garamond"/>
        </w:rPr>
      </w:pPr>
      <w:bookmarkStart w:id="0" w:name="_GoBack"/>
      <w:bookmarkEnd w:id="0"/>
      <w:r w:rsidRPr="00611DC2">
        <w:rPr>
          <w:rFonts w:ascii="Garamond" w:hAnsi="Garamond"/>
          <w:i/>
          <w:iCs/>
        </w:rPr>
        <w:t xml:space="preserve">Warszawa, </w:t>
      </w:r>
      <w:r w:rsidR="00611DC2" w:rsidRPr="00611DC2">
        <w:rPr>
          <w:rFonts w:ascii="Garamond" w:hAnsi="Garamond"/>
          <w:i/>
          <w:iCs/>
        </w:rPr>
        <w:t>27 października 2020</w:t>
      </w:r>
      <w:r w:rsidR="00E80803" w:rsidRPr="00611DC2">
        <w:rPr>
          <w:rFonts w:ascii="Garamond" w:hAnsi="Garamond"/>
          <w:i/>
          <w:iCs/>
        </w:rPr>
        <w:t xml:space="preserve"> </w:t>
      </w:r>
      <w:r w:rsidRPr="00611DC2">
        <w:rPr>
          <w:rFonts w:ascii="Garamond" w:hAnsi="Garamond"/>
          <w:i/>
          <w:iCs/>
        </w:rPr>
        <w:t>roku</w:t>
      </w:r>
    </w:p>
    <w:p w:rsidR="006179AC" w:rsidRPr="00611DC2" w:rsidRDefault="006179AC" w:rsidP="00611DC2">
      <w:pPr>
        <w:jc w:val="center"/>
        <w:rPr>
          <w:rFonts w:ascii="Garamond" w:hAnsi="Garamond"/>
          <w:b/>
        </w:rPr>
      </w:pPr>
    </w:p>
    <w:p w:rsidR="00DD7D2D" w:rsidRPr="00755D00" w:rsidRDefault="00611DC2" w:rsidP="00611DC2">
      <w:pPr>
        <w:jc w:val="center"/>
        <w:rPr>
          <w:rFonts w:ascii="Garamond" w:hAnsi="Garamond"/>
          <w:b/>
          <w:sz w:val="28"/>
        </w:rPr>
      </w:pPr>
      <w:r w:rsidRPr="00755D00">
        <w:rPr>
          <w:rFonts w:ascii="Garamond" w:hAnsi="Garamond"/>
          <w:b/>
          <w:sz w:val="28"/>
        </w:rPr>
        <w:t xml:space="preserve">Zdalna nauka i </w:t>
      </w:r>
      <w:r w:rsidR="00695A19">
        <w:rPr>
          <w:rFonts w:ascii="Garamond" w:hAnsi="Garamond"/>
          <w:b/>
          <w:sz w:val="28"/>
        </w:rPr>
        <w:t>funkcjonowanie</w:t>
      </w:r>
      <w:r w:rsidRPr="00755D00">
        <w:rPr>
          <w:rFonts w:ascii="Garamond" w:hAnsi="Garamond"/>
          <w:b/>
          <w:sz w:val="28"/>
        </w:rPr>
        <w:t xml:space="preserve"> szkół oraz placówek</w:t>
      </w:r>
    </w:p>
    <w:p w:rsidR="00611DC2" w:rsidRPr="00611DC2" w:rsidRDefault="00611DC2" w:rsidP="00611DC2">
      <w:pPr>
        <w:jc w:val="center"/>
        <w:rPr>
          <w:rFonts w:ascii="Garamond" w:hAnsi="Garamond"/>
          <w:b/>
        </w:rPr>
      </w:pPr>
    </w:p>
    <w:p w:rsidR="00611DC2" w:rsidRPr="00611DC2" w:rsidRDefault="007D7EFF" w:rsidP="00D57C03">
      <w:pPr>
        <w:jc w:val="both"/>
        <w:rPr>
          <w:rFonts w:ascii="Garamond" w:hAnsi="Garamond"/>
          <w:b/>
        </w:rPr>
      </w:pPr>
      <w:r>
        <w:rPr>
          <w:rFonts w:ascii="Garamond" w:hAnsi="Garamond"/>
          <w:b/>
        </w:rPr>
        <w:t xml:space="preserve">  </w:t>
      </w:r>
    </w:p>
    <w:p w:rsidR="00611DC2" w:rsidRPr="00DB6241" w:rsidRDefault="00611DC2" w:rsidP="00611DC2">
      <w:pPr>
        <w:spacing w:after="160" w:line="259" w:lineRule="auto"/>
        <w:jc w:val="both"/>
        <w:rPr>
          <w:rFonts w:ascii="Garamond" w:eastAsia="Calibri" w:hAnsi="Garamond" w:cs="Times New Roman"/>
          <w:b/>
          <w:lang w:eastAsia="en-US"/>
        </w:rPr>
      </w:pPr>
      <w:r w:rsidRPr="00DB6241">
        <w:rPr>
          <w:rFonts w:ascii="Garamond" w:eastAsia="Calibri" w:hAnsi="Garamond" w:cs="Times New Roman"/>
          <w:b/>
          <w:lang w:eastAsia="en-US"/>
        </w:rPr>
        <w:t>Od 24 października br. uczniowie klas IV-VIII szkół podstawowych i wszystkich klas szkół ponadpodstawowych, a także słuchacze placówek kształcenia ustawicznego oraz centrów kształcenia zawodowego</w:t>
      </w:r>
      <w:r w:rsidR="00496291">
        <w:rPr>
          <w:rFonts w:ascii="Garamond" w:eastAsia="Calibri" w:hAnsi="Garamond" w:cs="Times New Roman"/>
          <w:b/>
          <w:lang w:eastAsia="en-US"/>
        </w:rPr>
        <w:t xml:space="preserve"> mają kształcenie zdalne. </w:t>
      </w:r>
      <w:r w:rsidRPr="00DB6241">
        <w:rPr>
          <w:rFonts w:ascii="Garamond" w:eastAsia="Calibri" w:hAnsi="Garamond" w:cs="Times New Roman"/>
          <w:b/>
          <w:lang w:eastAsia="en-US"/>
        </w:rPr>
        <w:t>Łącznie to ok. 3,8 mln osób. W trybie stacjonarnym uczy się teraz 1,4 mln przedszkolaków oraz 1,1 mln uczniów klas I-III szkół podstawowych. Ta</w:t>
      </w:r>
      <w:r w:rsidR="00122FD4">
        <w:rPr>
          <w:rFonts w:ascii="Garamond" w:eastAsia="Calibri" w:hAnsi="Garamond" w:cs="Times New Roman"/>
          <w:b/>
          <w:lang w:eastAsia="en-US"/>
        </w:rPr>
        <w:t xml:space="preserve">ką naukę mają również uczniowie </w:t>
      </w:r>
      <w:r w:rsidRPr="00DB6241">
        <w:rPr>
          <w:rFonts w:ascii="Garamond" w:eastAsia="Calibri" w:hAnsi="Garamond" w:cs="Times New Roman"/>
          <w:b/>
          <w:lang w:eastAsia="en-US"/>
        </w:rPr>
        <w:t>szkół specjalnych klas IV-VIII. To ponad 33 tys. dzieci, które uczą się w 982 szkołach.</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Nauczanie zdalne zostało wprowadzone do czasu zahamowania wzrostu zakażeń.</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Przygotowania do roku szkolnego 2020/2021 opierały się na analizie doświadczeń z pracy szkół i placówek w czasie ich ograniczonego funkcjonowania od połowy marca do czerwca 2020 r. W tym szczególnym czasie edukacja dzieci i młodzieży nie została przerwana, a proces dydaktyczny był kontynuowany. O</w:t>
      </w:r>
      <w:r w:rsidR="00122FD4">
        <w:rPr>
          <w:rFonts w:ascii="Garamond" w:eastAsia="Calibri" w:hAnsi="Garamond" w:cs="Times New Roman"/>
          <w:lang w:eastAsia="en-US"/>
        </w:rPr>
        <w:t>d</w:t>
      </w:r>
      <w:r w:rsidRPr="00611DC2">
        <w:rPr>
          <w:rFonts w:ascii="Garamond" w:eastAsia="Calibri" w:hAnsi="Garamond" w:cs="Times New Roman"/>
          <w:lang w:eastAsia="en-US"/>
        </w:rPr>
        <w:t xml:space="preserve">był się także egzamin ósmoklasisty i egzamin maturalny.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Rozwiązania w zakresie powrotu uczniów do szkół zastosowane w Polsce były podobne do rozwiązań przyjętych w innych państwach europejskich.</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W sierpniu przygotowaliśmy poradnik „Dobre praktyki dotyczące funkcjonowania jednostek systemu oświaty w okresie zapobiegania, przeciwdziałania i zwalczania COVID-19”. Materiał został opracowany na podstawie informacji zebranych przez kuratorów oświaty od dyrektorów szkół. Poradnik zawiera praktyczne wskazówki, jak organizować nauczanie na odległość czy nauczanie w wariancie mieszanym.</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 xml:space="preserve">Zdalna lekcja może trwać 30 minut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We wrześniu </w:t>
      </w:r>
      <w:r w:rsidR="00122FD4">
        <w:rPr>
          <w:rFonts w:ascii="Garamond" w:eastAsia="Calibri" w:hAnsi="Garamond" w:cs="Times New Roman"/>
          <w:lang w:eastAsia="en-US"/>
        </w:rPr>
        <w:t xml:space="preserve">br. </w:t>
      </w:r>
      <w:r w:rsidRPr="00611DC2">
        <w:rPr>
          <w:rFonts w:ascii="Garamond" w:eastAsia="Calibri" w:hAnsi="Garamond" w:cs="Times New Roman"/>
          <w:lang w:eastAsia="en-US"/>
        </w:rPr>
        <w:t xml:space="preserve">wprowadziliśmy ułatwienia w funkcjonowaniu szkół. W tym roku szkolnym czas trwania godziny lekcyjnej prowadzonej zdalnie będzie mógł wynosić od 30 do 60 minut. Wprowadzone przez MEN zmiany pozwalają dostosować czas zajęć edukacyjnych do indywidualnych potrzeb szkoły i charakteru zajęć edukacyjnych. Jednocześnie obowiązuje zasada, że podstawowym wymiarem czasu trwania poszczególnych zajęć edukacyjnych jest 45 minut.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lastRenderedPageBreak/>
        <w:t>Ponadto dyrektor szkoły może, po zasięgnięciu opinii rady pedagogicznej, czasowo zmodyfikować tygodniowy lub semestralny rozkład zajęć w zakresie prowadzonych w jednostce systemu oświaty zajęć z wykorzystaniem metod i technik kształcenia na odległość lub innego sposobu realizacji tych zajęć.</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Indywidualne nauczanie można prowadzić bez bezpośredniego kontaktu uczeń-nauczyciel, lekcja zdalna może trwać od 30 do 60 minut, a nauczyciel może zmodyfikować tygodniowy rozkład zajęć – to nowe rozwiązania prawne wprowadzone na ten rok szkolny, które są pomocne w organizowaniu kształcenia w czasie pandemii.</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 xml:space="preserve">Dostęp uczniów do komputera – wyniki badań międzynarodowych </w:t>
      </w:r>
    </w:p>
    <w:p w:rsidR="00122FD4"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Warunkiem prowadzenia zajęć on-line, np. z wykorzystaniem e-materiałów, jest zapewnienie uczniom dostępu do komputera.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Według danych z badania PISA 2018 nie wszystkie kraje spełniały ten warunek. W Polsce 96% uczniów zgłosiło posiadanie komputera, którego mogą używać do pracy w domu, co jest wartością wyższą niż średnia OECD (89%).</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 xml:space="preserve">Nauka na odległość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12 sierpnia br. Minister Edukacji Narodowej przygotował 5 rozporządzeń, które pozwoliły szkołom i placówkom – w razie zagrożenia epidemicznego – wprowadzić odpowiednie, dostosowane do sytuacji rozwiązania.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Dzięki tym rozwiązaniom na długo przed rozpoczęciem nowego roku szkolnego dyrektorzy szkół i placówek dostali narzędzia pozwalające na odpowiednią organizację zajęć w szkole, szczególnie jeśli sytuacja epidemiologiczna zagrozi zdrowiu uczniów. </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 xml:space="preserve">Rozwijamy Zintegrowaną Platformę Edukacyjną epodreczniki.pl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Nauczyciele i uczniowie w kształceniu na odległość mogą korzystać ze Zintegrowanej Platformy Edukacyjnej epodręczniki.pl, którą przygotowało MEN.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Platforma epodreczniki.pl pozwala na planowanie procesu nauki zdalnej i monitorowanie postępów uczniów</w:t>
      </w:r>
      <w:r w:rsidR="00122FD4">
        <w:rPr>
          <w:rFonts w:ascii="Garamond" w:eastAsia="Calibri" w:hAnsi="Garamond" w:cs="Times New Roman"/>
          <w:lang w:eastAsia="en-US"/>
        </w:rPr>
        <w:t>. D</w:t>
      </w:r>
      <w:r w:rsidRPr="00611DC2">
        <w:rPr>
          <w:rFonts w:ascii="Garamond" w:eastAsia="Calibri" w:hAnsi="Garamond" w:cs="Times New Roman"/>
          <w:lang w:eastAsia="en-US"/>
        </w:rPr>
        <w:t xml:space="preserve">zięki wbudowanym modułom komunikacyjnym umożliwia </w:t>
      </w:r>
      <w:r w:rsidR="00122FD4">
        <w:rPr>
          <w:rFonts w:ascii="Garamond" w:eastAsia="Calibri" w:hAnsi="Garamond" w:cs="Times New Roman"/>
          <w:lang w:eastAsia="en-US"/>
        </w:rPr>
        <w:t xml:space="preserve">ona </w:t>
      </w:r>
      <w:r w:rsidRPr="00611DC2">
        <w:rPr>
          <w:rFonts w:ascii="Garamond" w:eastAsia="Calibri" w:hAnsi="Garamond" w:cs="Times New Roman"/>
          <w:lang w:eastAsia="en-US"/>
        </w:rPr>
        <w:t xml:space="preserve">komunikację pomiędzy nauczycielami i uczniami. ZPE korzysta z danych pochodzących z Systemu Informacji Oświatowej. Na podstawie tych danych każdy nauczyciel został przypisany do szkoły albo do kilku szkół (dotyczy tych, którzy prowadzą zajęcia w więcej niż jednej szkole).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Do każdej szkoły </w:t>
      </w:r>
      <w:r w:rsidR="00122FD4">
        <w:rPr>
          <w:rFonts w:ascii="Garamond" w:eastAsia="Calibri" w:hAnsi="Garamond" w:cs="Times New Roman"/>
          <w:lang w:eastAsia="en-US"/>
        </w:rPr>
        <w:t xml:space="preserve">przypisano </w:t>
      </w:r>
      <w:r w:rsidRPr="00611DC2">
        <w:rPr>
          <w:rFonts w:ascii="Garamond" w:eastAsia="Calibri" w:hAnsi="Garamond" w:cs="Times New Roman"/>
          <w:lang w:eastAsia="en-US"/>
        </w:rPr>
        <w:t xml:space="preserve">też informacje na temat oddziałów </w:t>
      </w:r>
      <w:r w:rsidR="00122FD4">
        <w:rPr>
          <w:rFonts w:ascii="Garamond" w:eastAsia="Calibri" w:hAnsi="Garamond" w:cs="Times New Roman"/>
          <w:lang w:eastAsia="en-US"/>
        </w:rPr>
        <w:t xml:space="preserve">istniejących </w:t>
      </w:r>
      <w:r w:rsidRPr="00611DC2">
        <w:rPr>
          <w:rFonts w:ascii="Garamond" w:eastAsia="Calibri" w:hAnsi="Garamond" w:cs="Times New Roman"/>
          <w:lang w:eastAsia="en-US"/>
        </w:rPr>
        <w:t xml:space="preserve">w </w:t>
      </w:r>
      <w:r w:rsidR="00122FD4">
        <w:rPr>
          <w:rFonts w:ascii="Garamond" w:eastAsia="Calibri" w:hAnsi="Garamond" w:cs="Times New Roman"/>
          <w:lang w:eastAsia="en-US"/>
        </w:rPr>
        <w:t xml:space="preserve">danej </w:t>
      </w:r>
      <w:r w:rsidRPr="00611DC2">
        <w:rPr>
          <w:rFonts w:ascii="Garamond" w:eastAsia="Calibri" w:hAnsi="Garamond" w:cs="Times New Roman"/>
          <w:lang w:eastAsia="en-US"/>
        </w:rPr>
        <w:t xml:space="preserve">szkole. Uczniowie zostali przypisani bezpośrednio do danych oddziałów, tak aby odwzorować istniejące podziały na klasy. W ten sposób każdy nauczyciel miał dostęp do </w:t>
      </w:r>
      <w:r w:rsidR="00122FD4">
        <w:rPr>
          <w:rFonts w:ascii="Garamond" w:eastAsia="Calibri" w:hAnsi="Garamond" w:cs="Times New Roman"/>
          <w:lang w:eastAsia="en-US"/>
        </w:rPr>
        <w:t xml:space="preserve">klas, </w:t>
      </w:r>
      <w:r w:rsidRPr="00611DC2">
        <w:rPr>
          <w:rFonts w:ascii="Garamond" w:eastAsia="Calibri" w:hAnsi="Garamond" w:cs="Times New Roman"/>
          <w:lang w:eastAsia="en-US"/>
        </w:rPr>
        <w:t>w których uczy.</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Na platformie znajduje się obecnie ponad 15 tys. materiałów, w tym ok. 8 500 interaktywnych </w:t>
      </w:r>
      <w:r w:rsidRPr="00611DC2">
        <w:rPr>
          <w:rFonts w:ascii="Garamond" w:eastAsia="Calibri" w:hAnsi="Garamond" w:cs="Times New Roman"/>
          <w:lang w:eastAsia="en-US"/>
        </w:rPr>
        <w:br/>
        <w:t>e-materiałów, ponad 3 200 scenariuszy lekcji oraz 107 programów nauczania. Od 1 września opublikowaliśmy 280 nowych e-materiałów.</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lastRenderedPageBreak/>
        <w:t xml:space="preserve">Zintegrowana Platforma Edukacyjna to nie tylko bezpłatne e-materiały, ale kompletne narzędzie umożliwiające prowadzenie zdalnej nauki, które cały czas się rozwija – zgodnie z potrzebami uczniów i nauczycieli. Konto na ZPE ma ponad 6,3 mln użytkowników. </w:t>
      </w:r>
    </w:p>
    <w:p w:rsidR="00122FD4"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W odpowiedzi na potrzeby szkół w trakcie pandemii na platformie www.epodreczniki.pl systematycznie uruchamiamy dodatkowe funkcjonalności.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Od 26 sierpnia br. zalogowani nauczyciele i uczniowie mają możliwość spotkań on-line z wykorzystaniem zewnętrznych narzędzi do wideokonferencji</w:t>
      </w:r>
      <w:r w:rsidR="00122FD4">
        <w:rPr>
          <w:rFonts w:ascii="Garamond" w:eastAsia="Calibri" w:hAnsi="Garamond" w:cs="Times New Roman"/>
          <w:lang w:eastAsia="en-US"/>
        </w:rPr>
        <w:t>. O</w:t>
      </w:r>
      <w:r w:rsidRPr="00611DC2">
        <w:rPr>
          <w:rFonts w:ascii="Garamond" w:eastAsia="Calibri" w:hAnsi="Garamond" w:cs="Times New Roman"/>
          <w:lang w:eastAsia="en-US"/>
        </w:rPr>
        <w:t xml:space="preserve">d 22 września br. nauczyciele mają </w:t>
      </w:r>
      <w:r w:rsidR="00122FD4">
        <w:rPr>
          <w:rFonts w:ascii="Garamond" w:eastAsia="Calibri" w:hAnsi="Garamond" w:cs="Times New Roman"/>
          <w:lang w:eastAsia="en-US"/>
        </w:rPr>
        <w:t xml:space="preserve">także </w:t>
      </w:r>
      <w:r w:rsidRPr="00611DC2">
        <w:rPr>
          <w:rFonts w:ascii="Garamond" w:eastAsia="Calibri" w:hAnsi="Garamond" w:cs="Times New Roman"/>
          <w:lang w:eastAsia="en-US"/>
        </w:rPr>
        <w:t xml:space="preserve">dodatkową możliwość tworzenia z materiałów na Zintegrowanej Platformie Edukacyjnej ścieżek nauki, dzięki którym mogą ułożyć plan kształcenia.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Od 1 marca do początku sierpnia br. liczba odsłon platformy to łącznie ponad 120 mln. Liczba odsłon w okresie marzec-czerwiec wynosiła średnio ok. 1 mln odsłon dziennie.  </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Wsparcie w kształceniu na odległość</w:t>
      </w:r>
    </w:p>
    <w:p w:rsidR="00B466A8"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Już od kwietnia </w:t>
      </w:r>
      <w:r w:rsidR="00B466A8">
        <w:rPr>
          <w:rFonts w:ascii="Garamond" w:eastAsia="Calibri" w:hAnsi="Garamond" w:cs="Times New Roman"/>
          <w:lang w:eastAsia="en-US"/>
        </w:rPr>
        <w:t xml:space="preserve">br. </w:t>
      </w:r>
      <w:r w:rsidRPr="00611DC2">
        <w:rPr>
          <w:rFonts w:ascii="Garamond" w:eastAsia="Calibri" w:hAnsi="Garamond" w:cs="Times New Roman"/>
          <w:lang w:eastAsia="en-US"/>
        </w:rPr>
        <w:t xml:space="preserve">samorządy mogły wnioskować o środki na zakup sprzętu do zdalnej nauki zarówno dla uczniów, jak i nauczycieli.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W ramach projektu „Zdalna Szkoła” wsparcie rządu w wysokości ponad 187 mln zł otrzymało 2 790 samorządów (z 2 790 uprawnionych podmiotów). W maju br. uruchomiona została druga edycja projektu „Zdalna szkoła+”. Na ten cel przeznaczono 186 mln zł. Wówczas wsparcie uzyskało 2 465 samorządów (z 2447 uprawnionych) na kwotę 170 mln zł. </w:t>
      </w:r>
    </w:p>
    <w:p w:rsid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Warto przypomnieć, że w ramach programu „Zdalna szkoła+” samorządy mogą sfinansować zakup: komputerów, laptopów, ale także oprogramowania, ubezpieczenia sprzętu, mobilnego dostępu do internetu.</w:t>
      </w:r>
    </w:p>
    <w:p w:rsidR="00826ADF" w:rsidRPr="00826ADF" w:rsidRDefault="00826ADF" w:rsidP="00611DC2">
      <w:pPr>
        <w:spacing w:after="160" w:line="259" w:lineRule="auto"/>
        <w:jc w:val="both"/>
        <w:rPr>
          <w:rFonts w:ascii="Garamond" w:eastAsia="Calibri" w:hAnsi="Garamond" w:cs="Times New Roman"/>
          <w:b/>
          <w:lang w:eastAsia="en-US"/>
        </w:rPr>
      </w:pPr>
      <w:r w:rsidRPr="00826ADF">
        <w:rPr>
          <w:rFonts w:ascii="Garamond" w:eastAsia="Calibri" w:hAnsi="Garamond" w:cs="Times New Roman"/>
          <w:b/>
          <w:lang w:eastAsia="en-US"/>
        </w:rPr>
        <w:t>Kolejna edycja programu „Aktywna tablica”</w:t>
      </w:r>
    </w:p>
    <w:p w:rsidR="00A37E65"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Ruszyła kolejna edycja </w:t>
      </w:r>
      <w:r w:rsidR="00826ADF">
        <w:rPr>
          <w:rFonts w:ascii="Garamond" w:eastAsia="Calibri" w:hAnsi="Garamond" w:cs="Times New Roman"/>
          <w:lang w:eastAsia="en-US"/>
        </w:rPr>
        <w:t xml:space="preserve">rządowego </w:t>
      </w:r>
      <w:r w:rsidRPr="00611DC2">
        <w:rPr>
          <w:rFonts w:ascii="Garamond" w:eastAsia="Calibri" w:hAnsi="Garamond" w:cs="Times New Roman"/>
          <w:lang w:eastAsia="en-US"/>
        </w:rPr>
        <w:t xml:space="preserve">programu „Aktywna tablica”, która będzie realizowana w latach 2020-2024. Szkoły jeszcze w tym roku </w:t>
      </w:r>
      <w:r w:rsidR="00B466A8">
        <w:rPr>
          <w:rFonts w:ascii="Garamond" w:eastAsia="Calibri" w:hAnsi="Garamond" w:cs="Times New Roman"/>
          <w:lang w:eastAsia="en-US"/>
        </w:rPr>
        <w:t xml:space="preserve">mogą </w:t>
      </w:r>
      <w:r w:rsidRPr="00611DC2">
        <w:rPr>
          <w:rFonts w:ascii="Garamond" w:eastAsia="Calibri" w:hAnsi="Garamond" w:cs="Times New Roman"/>
          <w:lang w:eastAsia="en-US"/>
        </w:rPr>
        <w:t xml:space="preserve">wnioskować o udzielenie wsparcia finansowego na zakup laptopów wraz ze sprzętem umożliwiającym przetwarzanie wizerunku i głosu udostępnianego przez ucznia lub nauczyciela w czasie rzeczywistym za pośrednictwem transmisji audiowizualnej. Na ten cel mamy 361 455 000 zł, z czego w tym roku do wykorzystania będzie 35 mln zł.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Program będzie finansowany w 80 proc. ze środków budżetu państwa i w 20 proc. z wkładu własnego organów prowadzących szkołę, z wyjątkiem przekazania wsparcia na zakup inwestycyjny – wówczas wkład własny wzrośnie do 50 proc.</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W kolejnych latach program </w:t>
      </w:r>
      <w:r w:rsidR="00A37E65">
        <w:rPr>
          <w:rFonts w:ascii="Garamond" w:eastAsia="Calibri" w:hAnsi="Garamond" w:cs="Times New Roman"/>
          <w:lang w:eastAsia="en-US"/>
        </w:rPr>
        <w:t xml:space="preserve">skoncentrowany będzie na </w:t>
      </w:r>
      <w:r w:rsidRPr="00611DC2">
        <w:rPr>
          <w:rFonts w:ascii="Garamond" w:eastAsia="Calibri" w:hAnsi="Garamond" w:cs="Times New Roman"/>
          <w:lang w:eastAsia="en-US"/>
        </w:rPr>
        <w:t>wspieraniu placówek, które realizującą kształcenie uczniów ze specjalnymi potrzebami edukacyjnymi. Placówki te będą mogły być doposażanie w sprzęt, pomoce dydaktyczne oraz narzędzia do terapii. Program będzie też nadal uwzględniał sytuację, w której nauczanie i uczenie się jest prowadzone w ramach kształcenia na odległość (zakup tablic interaktywnych, projektorów i monitorów dotykowych).</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lastRenderedPageBreak/>
        <w:t xml:space="preserve">Dodatkowo przekazaliśmy 520 wybranym szkołom 13 tys. tabletów z dostępem do internetu. To sprzęt pochodzący z puli 40 tys. komputerów, które wspólnie z NASK przekażemy 1 600 szkołom działającym w programie OSE.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Szkolne Pakiety Multimedialne to jedno z wielu działań rządu, którego celem jest doposażenie szkół w sprzęt komputerowy. Taki szkolny pakiet NASK składa się z 25 tabletów wraz z etui, klawiaturą, rysikiem i usługą mobilnego dostępu do sieci internetu świadczoną do końca roku szkolnego 2020/2021.</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W poprzednim roku szkolnym w ramach konkursu #OSEWyzwanie do 764 szkół z miejscowości liczących do 50 tys. mieszkańców trafiły mobilne pracownie komputerowe. W sumie szkołom przekazano 12 224 laptopy, które są wsparciem w prowadzeniu lekcji i korzystaniu z internetowych zasobów edukacyjnych. Wartość pojedynczego zestawu (jednej pracowni) to 34 439 zł.</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W ramach kolejnego działania rząd przeznaczył 130 mln zł na zakup m.in. komputerów dla dzieci, które przebywają w pieczy zastępczej. Pomoc ta jest skierowana zarówno do dzieci z domów dziecka, jak i innych placówek rodzinnych. W całej Polsce w pieczy zastępczej umieszczonych jest ponad 72,5 tys. dzieci, w tym ponad 16,7 tys. w placówkach oraz ponad 55,5 tys. dzieci w pieczy o charakterze rodzinnym. Zadanie jest finansowane w ramach Programu Operacyjnego Wiedza Edukacja Rozwój (na lata 2014-2020) współfinansowanego z Europejskiego Funduszu Społecznego.</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www.gov.pl/zdalnelekcje</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Nauczyciele i uczniowie podczas kształcenia na odległość mogą korzystać z portalu </w:t>
      </w:r>
      <w:r w:rsidR="00EA499D" w:rsidRPr="00EA499D">
        <w:rPr>
          <w:rFonts w:ascii="Garamond" w:eastAsia="Calibri" w:hAnsi="Garamond" w:cs="Times New Roman"/>
          <w:b/>
          <w:lang w:eastAsia="en-US"/>
        </w:rPr>
        <w:t>gov.pl/zdalnelekcje</w:t>
      </w:r>
      <w:r w:rsidRPr="00EA499D">
        <w:rPr>
          <w:rFonts w:ascii="Garamond" w:eastAsia="Calibri" w:hAnsi="Garamond" w:cs="Times New Roman"/>
          <w:b/>
          <w:lang w:eastAsia="en-US"/>
        </w:rPr>
        <w:t>.</w:t>
      </w:r>
      <w:r w:rsidRPr="00611DC2">
        <w:rPr>
          <w:rFonts w:ascii="Garamond" w:eastAsia="Calibri" w:hAnsi="Garamond" w:cs="Times New Roman"/>
          <w:lang w:eastAsia="en-US"/>
        </w:rPr>
        <w:t xml:space="preserve"> Serwis został uruchomiony na wiosnę, tuż po czasowym zawieszeniu zajęć w szkołach ze względu na epidemię COVID-19.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Dzięki materiałom zamieszczonym w serwisie gov.pl/zdalnelekcje nauczyciele otrzymują pomoc dydaktyczną i merytoryczną stanowiącą inspirację, jak również wsparcie w bieżącej pracy. Uczniowie zaś mają dostęp do interesujących i pomocnych zasobów edukacyjnych, dzięki którym rozwijają umiejętność samokształcenia.</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„Zdalne Lekcje” to już ponad 2 500 lekcji</w:t>
      </w:r>
      <w:r w:rsidR="00EA499D">
        <w:rPr>
          <w:rFonts w:ascii="Garamond" w:eastAsia="Calibri" w:hAnsi="Garamond" w:cs="Times New Roman"/>
          <w:lang w:eastAsia="en-US"/>
        </w:rPr>
        <w:t xml:space="preserve"> on-line</w:t>
      </w:r>
      <w:r w:rsidRPr="00611DC2">
        <w:rPr>
          <w:rFonts w:ascii="Garamond" w:eastAsia="Calibri" w:hAnsi="Garamond" w:cs="Times New Roman"/>
          <w:lang w:eastAsia="en-US"/>
        </w:rPr>
        <w:t xml:space="preserve"> i </w:t>
      </w:r>
      <w:r w:rsidR="00EA499D">
        <w:rPr>
          <w:rFonts w:ascii="Garamond" w:eastAsia="Calibri" w:hAnsi="Garamond" w:cs="Times New Roman"/>
          <w:lang w:eastAsia="en-US"/>
        </w:rPr>
        <w:t>blisko</w:t>
      </w:r>
      <w:r w:rsidRPr="00611DC2">
        <w:rPr>
          <w:rFonts w:ascii="Garamond" w:eastAsia="Calibri" w:hAnsi="Garamond" w:cs="Times New Roman"/>
          <w:lang w:eastAsia="en-US"/>
        </w:rPr>
        <w:t xml:space="preserve"> 10 000 odnośników do cyfrowych zasobów. Sukcesywnie są tam zamieszczane nowe propozycje materiałów dydaktycznych, z których nauczyciele mogą korzystać podczas zajęć z uczniami szkół podstawowych i ponadpodstawowych.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Materiały powstają we współpracy z ekspertami, nauczycielami oraz metodykami z jednostek podległych Ministerstwu Edukacji Narodowej i KPRM. </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Szybki internet w szkołach – Ogólnopolska Sieć Edukacyjna (OSE)</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Jest to wspólne przedsięwzięcie realizowane od 2017 roku przez Ministra Edukacji Narodowej i Ministra Cyfryzacji. Operatorem projektu jest Naukowa i Akademicka Sieć Komputerowa – Państwowy Instytut Badawczy.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lastRenderedPageBreak/>
        <w:t xml:space="preserve">Program OSE </w:t>
      </w:r>
      <w:r w:rsidR="007C2BBD">
        <w:rPr>
          <w:rFonts w:ascii="Garamond" w:eastAsia="Calibri" w:hAnsi="Garamond" w:cs="Times New Roman"/>
          <w:lang w:eastAsia="en-US"/>
        </w:rPr>
        <w:t>wprowadzono</w:t>
      </w:r>
      <w:r w:rsidRPr="00611DC2">
        <w:rPr>
          <w:rFonts w:ascii="Garamond" w:eastAsia="Calibri" w:hAnsi="Garamond" w:cs="Times New Roman"/>
          <w:lang w:eastAsia="en-US"/>
        </w:rPr>
        <w:t xml:space="preserve"> w celu zapewnienia szkołom szerokopasmowego dostępu do bezpiecznego internetu, podnoszenia poziomu kompetencji cyfrowych uczniów, umożliwienia wspomagania procesu kształcenia w szkołach poprzez dostęp do zasobów dostępnych w internecie oraz wyrównania szans edukacyjnych wszystkich uczniów w Polsce.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Do 23 października br. 19 927 szkół zgłosiło chęć przystąpienia do OSE. 19 429 placówek wypełniło ankiety techniczne, co otwiera drogę do przyłączenia szkoły do OSE. Ponad 18 800 dyrektorów szkół podpisało już umowy o świadczenie usług OSE. Z kolei do OSE jest już podłączonych 15 616 szkół, z czego 13 300 placówek w pełni korzysta z usług OSE.</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 xml:space="preserve">Rozwijanie kompetencji cyfrowych nauczycieli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Do pracy z wykorzystaniem metod i technik kształcenia na odległość nauczyciele są przygotowywani już w trakcie studiów wyższych. Każdy absolwent studiów w specjalności nauczycielskiej nabywa kompetencje w zakresie skutecznego wykorzystywania technologii informacyjno-komunikacyjnej w realizacji zadań dydaktycznych. </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Czynni nauczyciele mają możliwość rozwijania kompetencji cyfrowych w ramach form doskonalenia oferowanych przez placówki doskonalenia nauczycieli lub biblioteki pedagogiczne. W obecnej perspektywie finansowej EFS 2014-2020 w Programie Operacyjnym Wiedza Edukacja Rozwój (Działanie 2.10 Wysoka jakość systemu oświaty) realizowane </w:t>
      </w:r>
      <w:r w:rsidR="008F53E0">
        <w:rPr>
          <w:rFonts w:ascii="Garamond" w:eastAsia="Calibri" w:hAnsi="Garamond" w:cs="Times New Roman"/>
          <w:lang w:eastAsia="en-US"/>
        </w:rPr>
        <w:t xml:space="preserve">są </w:t>
      </w:r>
      <w:r w:rsidRPr="00611DC2">
        <w:rPr>
          <w:rFonts w:ascii="Garamond" w:eastAsia="Calibri" w:hAnsi="Garamond" w:cs="Times New Roman"/>
          <w:lang w:eastAsia="en-US"/>
        </w:rPr>
        <w:t xml:space="preserve">szkolenia i </w:t>
      </w:r>
      <w:r w:rsidR="008F53E0">
        <w:rPr>
          <w:rFonts w:ascii="Garamond" w:eastAsia="Calibri" w:hAnsi="Garamond" w:cs="Times New Roman"/>
          <w:lang w:eastAsia="en-US"/>
        </w:rPr>
        <w:t>działania doradcze</w:t>
      </w:r>
      <w:r w:rsidRPr="00611DC2">
        <w:rPr>
          <w:rFonts w:ascii="Garamond" w:eastAsia="Calibri" w:hAnsi="Garamond" w:cs="Times New Roman"/>
          <w:lang w:eastAsia="en-US"/>
        </w:rPr>
        <w:t xml:space="preserve"> w zakresie rozwijania u uczniów kompetencji kluczowych</w:t>
      </w:r>
      <w:r w:rsidR="008F53E0">
        <w:rPr>
          <w:rFonts w:ascii="Garamond" w:eastAsia="Calibri" w:hAnsi="Garamond" w:cs="Times New Roman"/>
          <w:lang w:eastAsia="en-US"/>
        </w:rPr>
        <w:t>. Dotyczy to również k</w:t>
      </w:r>
      <w:r w:rsidRPr="00611DC2">
        <w:rPr>
          <w:rFonts w:ascii="Garamond" w:eastAsia="Calibri" w:hAnsi="Garamond" w:cs="Times New Roman"/>
          <w:lang w:eastAsia="en-US"/>
        </w:rPr>
        <w:t xml:space="preserve">orzystania z nowoczesnych technologii informacyjno-komunikacyjnych </w:t>
      </w:r>
      <w:r w:rsidR="008F53E0">
        <w:rPr>
          <w:rFonts w:ascii="Garamond" w:eastAsia="Calibri" w:hAnsi="Garamond" w:cs="Times New Roman"/>
          <w:lang w:eastAsia="en-US"/>
        </w:rPr>
        <w:t>przez kadrę</w:t>
      </w:r>
      <w:r w:rsidRPr="00611DC2">
        <w:rPr>
          <w:rFonts w:ascii="Garamond" w:eastAsia="Calibri" w:hAnsi="Garamond" w:cs="Times New Roman"/>
          <w:lang w:eastAsia="en-US"/>
        </w:rPr>
        <w:t xml:space="preserve"> placówek doskonalenia nauczycieli, poradni psychologiczno-pedagogicznych, bibliotek pedagogicznych oraz kadry kierowniczej oświaty. </w:t>
      </w:r>
    </w:p>
    <w:p w:rsidR="00611DC2" w:rsidRPr="00611DC2" w:rsidRDefault="008F53E0" w:rsidP="00611DC2">
      <w:pPr>
        <w:spacing w:after="160" w:line="259" w:lineRule="auto"/>
        <w:jc w:val="both"/>
        <w:rPr>
          <w:rFonts w:ascii="Garamond" w:eastAsia="Calibri" w:hAnsi="Garamond" w:cs="Times New Roman"/>
          <w:lang w:eastAsia="en-US"/>
        </w:rPr>
      </w:pPr>
      <w:r>
        <w:rPr>
          <w:rFonts w:ascii="Garamond" w:eastAsia="Calibri" w:hAnsi="Garamond" w:cs="Times New Roman"/>
          <w:lang w:eastAsia="en-US"/>
        </w:rPr>
        <w:t>Blisko</w:t>
      </w:r>
      <w:r w:rsidR="00611DC2" w:rsidRPr="00611DC2">
        <w:rPr>
          <w:rFonts w:ascii="Garamond" w:eastAsia="Calibri" w:hAnsi="Garamond" w:cs="Times New Roman"/>
          <w:lang w:eastAsia="en-US"/>
        </w:rPr>
        <w:t xml:space="preserve"> 50 mln zł zostanie </w:t>
      </w:r>
      <w:r>
        <w:rPr>
          <w:rFonts w:ascii="Garamond" w:eastAsia="Calibri" w:hAnsi="Garamond" w:cs="Times New Roman"/>
          <w:lang w:eastAsia="en-US"/>
        </w:rPr>
        <w:t xml:space="preserve">przeznaczonych na </w:t>
      </w:r>
      <w:r w:rsidR="00611DC2" w:rsidRPr="00611DC2">
        <w:rPr>
          <w:rFonts w:ascii="Garamond" w:eastAsia="Calibri" w:hAnsi="Garamond" w:cs="Times New Roman"/>
          <w:lang w:eastAsia="en-US"/>
        </w:rPr>
        <w:t>przeszkol</w:t>
      </w:r>
      <w:r>
        <w:rPr>
          <w:rFonts w:ascii="Garamond" w:eastAsia="Calibri" w:hAnsi="Garamond" w:cs="Times New Roman"/>
          <w:lang w:eastAsia="en-US"/>
        </w:rPr>
        <w:t>enie</w:t>
      </w:r>
      <w:r w:rsidR="00611DC2" w:rsidRPr="00611DC2">
        <w:rPr>
          <w:rFonts w:ascii="Garamond" w:eastAsia="Calibri" w:hAnsi="Garamond" w:cs="Times New Roman"/>
          <w:lang w:eastAsia="en-US"/>
        </w:rPr>
        <w:t xml:space="preserve"> 32 tys. pracowników placówek doskonalenia nauczycieli, bibliotek pedagogicznych i nauczycieli z zakresu prowadzenia kształcenia na odległość. Projekt powstał z inicjatywny MEN, a realizuje go Ośrodek Rozwoju Edukacji. </w:t>
      </w:r>
    </w:p>
    <w:p w:rsidR="00F73446" w:rsidRPr="00F73446" w:rsidRDefault="00F73446" w:rsidP="00611DC2">
      <w:pPr>
        <w:spacing w:after="160" w:line="259" w:lineRule="auto"/>
        <w:jc w:val="both"/>
        <w:rPr>
          <w:rFonts w:ascii="Garamond" w:eastAsia="Calibri" w:hAnsi="Garamond" w:cs="Times New Roman"/>
          <w:b/>
          <w:lang w:eastAsia="en-US"/>
        </w:rPr>
      </w:pPr>
      <w:r w:rsidRPr="00F73446">
        <w:rPr>
          <w:rFonts w:ascii="Garamond" w:eastAsia="Calibri" w:hAnsi="Garamond" w:cs="Times New Roman"/>
          <w:b/>
          <w:lang w:eastAsia="en-US"/>
        </w:rPr>
        <w:t>Projekt „Lekcja:Enter”</w:t>
      </w:r>
    </w:p>
    <w:p w:rsidR="00611DC2" w:rsidRPr="00611DC2" w:rsidRDefault="008F53E0" w:rsidP="00611DC2">
      <w:pPr>
        <w:spacing w:after="160" w:line="259" w:lineRule="auto"/>
        <w:jc w:val="both"/>
        <w:rPr>
          <w:rFonts w:ascii="Garamond" w:eastAsia="Calibri" w:hAnsi="Garamond" w:cs="Times New Roman"/>
          <w:lang w:eastAsia="en-US"/>
        </w:rPr>
      </w:pPr>
      <w:r>
        <w:rPr>
          <w:rFonts w:ascii="Garamond" w:eastAsia="Calibri" w:hAnsi="Garamond" w:cs="Times New Roman"/>
          <w:lang w:eastAsia="en-US"/>
        </w:rPr>
        <w:t>Dodatkowo w</w:t>
      </w:r>
      <w:r w:rsidR="00F73446">
        <w:rPr>
          <w:rFonts w:ascii="Garamond" w:eastAsia="Calibri" w:hAnsi="Garamond" w:cs="Times New Roman"/>
          <w:lang w:eastAsia="en-US"/>
        </w:rPr>
        <w:t xml:space="preserve"> ramach projektu „Lekcja:E</w:t>
      </w:r>
      <w:r w:rsidR="00611DC2" w:rsidRPr="00611DC2">
        <w:rPr>
          <w:rFonts w:ascii="Garamond" w:eastAsia="Calibri" w:hAnsi="Garamond" w:cs="Times New Roman"/>
          <w:lang w:eastAsia="en-US"/>
        </w:rPr>
        <w:t>nter” z wykorzystywania technologii informacyjno-komunikacyjnych w codziennej pracy z uczniami zostanie przeszkolonych 75 tys. nauczycieli. Na ten przeznaczon</w:t>
      </w:r>
      <w:r>
        <w:rPr>
          <w:rFonts w:ascii="Garamond" w:eastAsia="Calibri" w:hAnsi="Garamond" w:cs="Times New Roman"/>
          <w:lang w:eastAsia="en-US"/>
        </w:rPr>
        <w:t>o</w:t>
      </w:r>
      <w:r w:rsidR="00611DC2" w:rsidRPr="00611DC2">
        <w:rPr>
          <w:rFonts w:ascii="Garamond" w:eastAsia="Calibri" w:hAnsi="Garamond" w:cs="Times New Roman"/>
          <w:lang w:eastAsia="en-US"/>
        </w:rPr>
        <w:t xml:space="preserve"> 50 mln zł.</w:t>
      </w:r>
    </w:p>
    <w:p w:rsidR="00611DC2" w:rsidRPr="00611DC2" w:rsidRDefault="00F73446" w:rsidP="00611DC2">
      <w:pPr>
        <w:spacing w:after="160" w:line="259" w:lineRule="auto"/>
        <w:jc w:val="both"/>
        <w:rPr>
          <w:rFonts w:ascii="Garamond" w:eastAsia="Calibri" w:hAnsi="Garamond" w:cs="Times New Roman"/>
          <w:lang w:eastAsia="en-US"/>
        </w:rPr>
      </w:pPr>
      <w:r>
        <w:rPr>
          <w:rFonts w:ascii="Garamond" w:eastAsia="Calibri" w:hAnsi="Garamond" w:cs="Times New Roman"/>
          <w:lang w:eastAsia="en-US"/>
        </w:rPr>
        <w:t>Na stronie „Lekcja:</w:t>
      </w:r>
      <w:r w:rsidR="00611DC2" w:rsidRPr="00611DC2">
        <w:rPr>
          <w:rFonts w:ascii="Garamond" w:eastAsia="Calibri" w:hAnsi="Garamond" w:cs="Times New Roman"/>
          <w:lang w:eastAsia="en-US"/>
        </w:rPr>
        <w:t xml:space="preserve">Enter” </w:t>
      </w:r>
      <w:r w:rsidR="008F53E0">
        <w:rPr>
          <w:rFonts w:ascii="Garamond" w:eastAsia="Calibri" w:hAnsi="Garamond" w:cs="Times New Roman"/>
          <w:lang w:eastAsia="en-US"/>
        </w:rPr>
        <w:t>zamieszczono</w:t>
      </w:r>
      <w:r w:rsidR="00611DC2" w:rsidRPr="00611DC2">
        <w:rPr>
          <w:rFonts w:ascii="Garamond" w:eastAsia="Calibri" w:hAnsi="Garamond" w:cs="Times New Roman"/>
          <w:lang w:eastAsia="en-US"/>
        </w:rPr>
        <w:t xml:space="preserve"> materiały szkoleniowe związane</w:t>
      </w:r>
      <w:r w:rsidR="008F53E0">
        <w:rPr>
          <w:rFonts w:ascii="Garamond" w:eastAsia="Calibri" w:hAnsi="Garamond" w:cs="Times New Roman"/>
          <w:lang w:eastAsia="en-US"/>
        </w:rPr>
        <w:t xml:space="preserve"> </w:t>
      </w:r>
      <w:r w:rsidR="00611DC2" w:rsidRPr="00611DC2">
        <w:rPr>
          <w:rFonts w:ascii="Garamond" w:eastAsia="Calibri" w:hAnsi="Garamond" w:cs="Times New Roman"/>
          <w:lang w:eastAsia="en-US"/>
        </w:rPr>
        <w:t>z nauczaniem on-line. Nauczyciele mogą w nich znaleźć podpowiedzi dotyczące dodatkowych zasobów i narzędzi internetowych w kształceniu na odległość, w tym zestawy kilkunastu tutoriali. Materiały przygotowali eksperci biorący udział w projekcie „Lekcja: Enter”.</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Projekt „Lekcja: Enter” </w:t>
      </w:r>
      <w:r w:rsidR="00F73446">
        <w:rPr>
          <w:rFonts w:ascii="Garamond" w:eastAsia="Calibri" w:hAnsi="Garamond" w:cs="Times New Roman"/>
          <w:lang w:eastAsia="en-US"/>
        </w:rPr>
        <w:t>finansowano</w:t>
      </w:r>
      <w:r w:rsidRPr="00611DC2">
        <w:rPr>
          <w:rFonts w:ascii="Garamond" w:eastAsia="Calibri" w:hAnsi="Garamond" w:cs="Times New Roman"/>
          <w:lang w:eastAsia="en-US"/>
        </w:rPr>
        <w:t xml:space="preserve"> ze środków UE, a realizują go podmioty wyłonione w konkursie: Fundacja Orange, Fundacja Rozwoju Społeczeństwa Informacyjnego oraz Instytut Spraw Publicznych.</w:t>
      </w:r>
    </w:p>
    <w:p w:rsidR="00F73446" w:rsidRDefault="00F73446" w:rsidP="00611DC2">
      <w:pPr>
        <w:spacing w:after="160" w:line="259" w:lineRule="auto"/>
        <w:jc w:val="both"/>
        <w:rPr>
          <w:rFonts w:ascii="Garamond" w:eastAsia="Calibri" w:hAnsi="Garamond" w:cs="Times New Roman"/>
          <w:lang w:eastAsia="en-US"/>
        </w:rPr>
      </w:pP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lastRenderedPageBreak/>
        <w:t>Dzięki funduszom europejskim za 76 mln zł blisko 10 tys. nauczycieli edukacji wczesnoszkolnej otrzyma wsparcie rozwoju kompetencji w zakresie nauczania programowania.</w:t>
      </w:r>
    </w:p>
    <w:p w:rsidR="00611DC2" w:rsidRPr="00611DC2" w:rsidRDefault="00611DC2" w:rsidP="00611DC2">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 xml:space="preserve">Polscy nauczyciele stanowią liczną grupę wśród nauczycieli uczestniczących w europejskim programie eTwinning. To platforma współpracy dla kadry szkolnej (nauczycieli, dyrektorów szkół, bibliotekarzy, itp.) z jednego z krajów europejskich, które komunikują się, współpracują, realizują wspólne projekty oraz dzielną się doświadczeniami. Na ponad 800 tys. uczestników programu, ponad 70 tys. to nauczyciele z Polski. </w:t>
      </w:r>
    </w:p>
    <w:p w:rsidR="00611DC2" w:rsidRPr="00611DC2" w:rsidRDefault="00611DC2" w:rsidP="00611DC2">
      <w:pPr>
        <w:spacing w:after="160" w:line="259" w:lineRule="auto"/>
        <w:jc w:val="both"/>
        <w:rPr>
          <w:rFonts w:ascii="Garamond" w:eastAsia="Calibri" w:hAnsi="Garamond" w:cs="Times New Roman"/>
          <w:b/>
          <w:lang w:eastAsia="en-US"/>
        </w:rPr>
      </w:pPr>
      <w:r w:rsidRPr="00611DC2">
        <w:rPr>
          <w:rFonts w:ascii="Garamond" w:eastAsia="Calibri" w:hAnsi="Garamond" w:cs="Times New Roman"/>
          <w:b/>
          <w:lang w:eastAsia="en-US"/>
        </w:rPr>
        <w:t>Środki higieny osobistej d</w:t>
      </w:r>
      <w:r w:rsidR="00F73446">
        <w:rPr>
          <w:rFonts w:ascii="Garamond" w:eastAsia="Calibri" w:hAnsi="Garamond" w:cs="Times New Roman"/>
          <w:b/>
          <w:lang w:eastAsia="en-US"/>
        </w:rPr>
        <w:t>la</w:t>
      </w:r>
      <w:r w:rsidRPr="00611DC2">
        <w:rPr>
          <w:rFonts w:ascii="Garamond" w:eastAsia="Calibri" w:hAnsi="Garamond" w:cs="Times New Roman"/>
          <w:b/>
          <w:lang w:eastAsia="en-US"/>
        </w:rPr>
        <w:t xml:space="preserve"> szkół</w:t>
      </w:r>
    </w:p>
    <w:p w:rsidR="00611DC2" w:rsidRDefault="00611DC2" w:rsidP="00EC6017">
      <w:pPr>
        <w:spacing w:after="160" w:line="259" w:lineRule="auto"/>
        <w:jc w:val="both"/>
        <w:rPr>
          <w:rFonts w:ascii="Garamond" w:eastAsia="Calibri" w:hAnsi="Garamond" w:cs="Times New Roman"/>
          <w:lang w:eastAsia="en-US"/>
        </w:rPr>
      </w:pPr>
      <w:r w:rsidRPr="00611DC2">
        <w:rPr>
          <w:rFonts w:ascii="Garamond" w:eastAsia="Calibri" w:hAnsi="Garamond" w:cs="Times New Roman"/>
          <w:lang w:eastAsia="en-US"/>
        </w:rPr>
        <w:t>Jeszcze przed rozpoczęciem nowego roku szkolnego lub tuż po jego rozpoczęciu do szkół i placówek oświatowych trafiło 17,7 tys. dyspenserów, 55 mln maseczek, 6,8 mln litrów płynów do dezynfekcji oraz 75 tys. termometrów bezdotykowych</w:t>
      </w:r>
      <w:r w:rsidR="00EC6017">
        <w:rPr>
          <w:rFonts w:ascii="Garamond" w:eastAsia="Calibri" w:hAnsi="Garamond" w:cs="Times New Roman"/>
          <w:lang w:eastAsia="en-US"/>
        </w:rPr>
        <w:t xml:space="preserve">. </w:t>
      </w:r>
      <w:r w:rsidRPr="00611DC2">
        <w:rPr>
          <w:rFonts w:ascii="Garamond" w:eastAsia="Calibri" w:hAnsi="Garamond" w:cs="Times New Roman"/>
          <w:lang w:eastAsia="en-US"/>
        </w:rPr>
        <w:t>Środki ochrony indywidualnej były przekazy</w:t>
      </w:r>
      <w:r w:rsidR="00EC6017">
        <w:rPr>
          <w:rFonts w:ascii="Garamond" w:eastAsia="Calibri" w:hAnsi="Garamond" w:cs="Times New Roman"/>
          <w:lang w:eastAsia="en-US"/>
        </w:rPr>
        <w:t xml:space="preserve">wane przez Ministerstwo Zdrowia przy współpracy z MEN. </w:t>
      </w:r>
    </w:p>
    <w:p w:rsidR="00611DC2" w:rsidRPr="00611DC2" w:rsidRDefault="00611DC2" w:rsidP="00611DC2">
      <w:pPr>
        <w:jc w:val="both"/>
        <w:rPr>
          <w:rFonts w:ascii="Garamond" w:hAnsi="Garamond"/>
        </w:rPr>
      </w:pPr>
    </w:p>
    <w:p w:rsidR="00811075" w:rsidRPr="00611DC2" w:rsidRDefault="00811075" w:rsidP="00611DC2">
      <w:pPr>
        <w:jc w:val="both"/>
        <w:rPr>
          <w:rFonts w:ascii="Garamond" w:hAnsi="Garamond"/>
        </w:rPr>
      </w:pPr>
      <w:r w:rsidRPr="00611DC2">
        <w:rPr>
          <w:rFonts w:ascii="Garamond" w:hAnsi="Garamond"/>
        </w:rPr>
        <w:t>Departament Informacji i Promocji</w:t>
      </w:r>
    </w:p>
    <w:p w:rsidR="00811075" w:rsidRPr="00611DC2" w:rsidRDefault="00811075" w:rsidP="00611DC2">
      <w:pPr>
        <w:jc w:val="both"/>
        <w:rPr>
          <w:rFonts w:ascii="Garamond" w:hAnsi="Garamond"/>
        </w:rPr>
      </w:pPr>
      <w:r w:rsidRPr="00611DC2">
        <w:rPr>
          <w:rFonts w:ascii="Garamond" w:hAnsi="Garamond"/>
        </w:rPr>
        <w:t>Ministerstwo Edukacji Narodowej</w:t>
      </w:r>
    </w:p>
    <w:p w:rsidR="00811075" w:rsidRDefault="00811075" w:rsidP="00611DC2">
      <w:pPr>
        <w:jc w:val="both"/>
        <w:rPr>
          <w:rFonts w:ascii="Garamond" w:hAnsi="Garamond"/>
        </w:rPr>
      </w:pPr>
    </w:p>
    <w:sectPr w:rsidR="00811075">
      <w:footerReference w:type="default" r:id="rId8"/>
      <w:headerReference w:type="first" r:id="rId9"/>
      <w:footerReference w:type="first" r:id="rId10"/>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E9" w:rsidRDefault="00E07AE9">
      <w:r>
        <w:separator/>
      </w:r>
    </w:p>
  </w:endnote>
  <w:endnote w:type="continuationSeparator" w:id="0">
    <w:p w:rsidR="00E07AE9" w:rsidRDefault="00E0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554580"/>
      <w:docPartObj>
        <w:docPartGallery w:val="Page Numbers (Bottom of Page)"/>
        <w:docPartUnique/>
      </w:docPartObj>
    </w:sdtPr>
    <w:sdtEndPr/>
    <w:sdtContent>
      <w:p w:rsidR="00853AD1" w:rsidRDefault="00853AD1">
        <w:pPr>
          <w:pStyle w:val="Stopka"/>
          <w:jc w:val="right"/>
        </w:pPr>
        <w:r>
          <w:fldChar w:fldCharType="begin"/>
        </w:r>
        <w:r>
          <w:instrText>PAGE   \* MERGEFORMAT</w:instrText>
        </w:r>
        <w:r>
          <w:fldChar w:fldCharType="separate"/>
        </w:r>
        <w:r w:rsidR="00933BEA">
          <w:rPr>
            <w:noProof/>
          </w:rPr>
          <w:t>2</w:t>
        </w:r>
        <w:r>
          <w:fldChar w:fldCharType="end"/>
        </w:r>
      </w:p>
    </w:sdtContent>
  </w:sdt>
  <w:p w:rsidR="002A740F" w:rsidRDefault="002A740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0F" w:rsidRDefault="00C377BC">
    <w:pPr>
      <w:pStyle w:val="Stopka"/>
    </w:pPr>
    <w:r>
      <w:rPr>
        <w:noProof/>
      </w:rPr>
      <w:drawing>
        <wp:anchor distT="0" distB="0" distL="114300" distR="114300" simplePos="0" relativeHeight="251656704" behindDoc="1" locked="1" layoutInCell="1" allowOverlap="0" wp14:anchorId="065DA666" wp14:editId="51C5582B">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E9" w:rsidRDefault="00E07AE9">
      <w:r>
        <w:separator/>
      </w:r>
    </w:p>
  </w:footnote>
  <w:footnote w:type="continuationSeparator" w:id="0">
    <w:p w:rsidR="00E07AE9" w:rsidRDefault="00E07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0F" w:rsidRDefault="00C377BC">
    <w:pPr>
      <w:pStyle w:val="Nagwek"/>
    </w:pPr>
    <w:r>
      <w:rPr>
        <w:noProof/>
      </w:rPr>
      <w:drawing>
        <wp:anchor distT="0" distB="180340" distL="114300" distR="114300" simplePos="0" relativeHeight="251658752" behindDoc="1" locked="1" layoutInCell="1" allowOverlap="0" wp14:anchorId="69E2E482" wp14:editId="4065398D">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085"/>
    <w:multiLevelType w:val="hybridMultilevel"/>
    <w:tmpl w:val="5370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46549"/>
    <w:multiLevelType w:val="hybridMultilevel"/>
    <w:tmpl w:val="F4589702"/>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0E1B57E5"/>
    <w:multiLevelType w:val="hybridMultilevel"/>
    <w:tmpl w:val="75D6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C29FE"/>
    <w:multiLevelType w:val="hybridMultilevel"/>
    <w:tmpl w:val="6CB4C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CA2C85"/>
    <w:multiLevelType w:val="hybridMultilevel"/>
    <w:tmpl w:val="415E39D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A5123E"/>
    <w:multiLevelType w:val="hybridMultilevel"/>
    <w:tmpl w:val="244E4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110DD3"/>
    <w:multiLevelType w:val="hybridMultilevel"/>
    <w:tmpl w:val="F4BA0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5508DF"/>
    <w:multiLevelType w:val="hybridMultilevel"/>
    <w:tmpl w:val="FE5A8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F8251C"/>
    <w:multiLevelType w:val="hybridMultilevel"/>
    <w:tmpl w:val="7ED29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63B7E04"/>
    <w:multiLevelType w:val="hybridMultilevel"/>
    <w:tmpl w:val="FF946988"/>
    <w:lvl w:ilvl="0" w:tplc="F51CEC90">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25047"/>
    <w:multiLevelType w:val="hybridMultilevel"/>
    <w:tmpl w:val="F7EA7A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097049"/>
    <w:multiLevelType w:val="hybridMultilevel"/>
    <w:tmpl w:val="FD8ED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F74F3"/>
    <w:multiLevelType w:val="hybridMultilevel"/>
    <w:tmpl w:val="BFB41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B261DF"/>
    <w:multiLevelType w:val="hybridMultilevel"/>
    <w:tmpl w:val="5C5EF62C"/>
    <w:lvl w:ilvl="0" w:tplc="41A23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E70"/>
    <w:multiLevelType w:val="hybridMultilevel"/>
    <w:tmpl w:val="44A86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251351"/>
    <w:multiLevelType w:val="hybridMultilevel"/>
    <w:tmpl w:val="7E5E40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70D44C85"/>
    <w:multiLevelType w:val="hybridMultilevel"/>
    <w:tmpl w:val="A5880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835913"/>
    <w:multiLevelType w:val="hybridMultilevel"/>
    <w:tmpl w:val="042A21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BC206FF"/>
    <w:multiLevelType w:val="hybridMultilevel"/>
    <w:tmpl w:val="2340AD6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7341EC"/>
    <w:multiLevelType w:val="multilevel"/>
    <w:tmpl w:val="6E644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15"/>
  </w:num>
  <w:num w:numId="3">
    <w:abstractNumId w:val="11"/>
  </w:num>
  <w:num w:numId="4">
    <w:abstractNumId w:val="10"/>
  </w:num>
  <w:num w:numId="5">
    <w:abstractNumId w:val="2"/>
  </w:num>
  <w:num w:numId="6">
    <w:abstractNumId w:val="13"/>
  </w:num>
  <w:num w:numId="7">
    <w:abstractNumId w:val="1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8"/>
  </w:num>
  <w:num w:numId="13">
    <w:abstractNumId w:val="20"/>
  </w:num>
  <w:num w:numId="14">
    <w:abstractNumId w:val="4"/>
  </w:num>
  <w:num w:numId="15">
    <w:abstractNumId w:val="17"/>
  </w:num>
  <w:num w:numId="16">
    <w:abstractNumId w:val="1"/>
  </w:num>
  <w:num w:numId="17">
    <w:abstractNumId w:val="19"/>
  </w:num>
  <w:num w:numId="18">
    <w:abstractNumId w:val="6"/>
  </w:num>
  <w:num w:numId="19">
    <w:abstractNumId w:val="18"/>
  </w:num>
  <w:num w:numId="20">
    <w:abstractNumId w:val="1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4"/>
    <w:rsid w:val="00002B94"/>
    <w:rsid w:val="00006CBE"/>
    <w:rsid w:val="00007067"/>
    <w:rsid w:val="00013AA2"/>
    <w:rsid w:val="00021EEA"/>
    <w:rsid w:val="00026995"/>
    <w:rsid w:val="000271E8"/>
    <w:rsid w:val="000316DE"/>
    <w:rsid w:val="000316EC"/>
    <w:rsid w:val="000331FA"/>
    <w:rsid w:val="00050023"/>
    <w:rsid w:val="00064E68"/>
    <w:rsid w:val="000678E8"/>
    <w:rsid w:val="00070463"/>
    <w:rsid w:val="00070641"/>
    <w:rsid w:val="0007568B"/>
    <w:rsid w:val="000845BD"/>
    <w:rsid w:val="00095F62"/>
    <w:rsid w:val="000C4FF6"/>
    <w:rsid w:val="000D22A2"/>
    <w:rsid w:val="000E234E"/>
    <w:rsid w:val="000E7BE5"/>
    <w:rsid w:val="000F0B03"/>
    <w:rsid w:val="000F2C17"/>
    <w:rsid w:val="000F51B9"/>
    <w:rsid w:val="000F7595"/>
    <w:rsid w:val="001014C3"/>
    <w:rsid w:val="00103A04"/>
    <w:rsid w:val="00111E3D"/>
    <w:rsid w:val="00122FD4"/>
    <w:rsid w:val="00126DF2"/>
    <w:rsid w:val="00134330"/>
    <w:rsid w:val="001375CC"/>
    <w:rsid w:val="00160A94"/>
    <w:rsid w:val="0018072D"/>
    <w:rsid w:val="0019630C"/>
    <w:rsid w:val="00196314"/>
    <w:rsid w:val="001A0074"/>
    <w:rsid w:val="001B6B15"/>
    <w:rsid w:val="001C6A60"/>
    <w:rsid w:val="001D3804"/>
    <w:rsid w:val="001E3463"/>
    <w:rsid w:val="001F1FD7"/>
    <w:rsid w:val="00201D75"/>
    <w:rsid w:val="00211442"/>
    <w:rsid w:val="00217CB1"/>
    <w:rsid w:val="00223CCF"/>
    <w:rsid w:val="00227EAF"/>
    <w:rsid w:val="002303A1"/>
    <w:rsid w:val="002342EF"/>
    <w:rsid w:val="00241ACF"/>
    <w:rsid w:val="00241C5D"/>
    <w:rsid w:val="00245F52"/>
    <w:rsid w:val="00253168"/>
    <w:rsid w:val="00266CEA"/>
    <w:rsid w:val="002675A9"/>
    <w:rsid w:val="00270EE9"/>
    <w:rsid w:val="00282DEA"/>
    <w:rsid w:val="002846DA"/>
    <w:rsid w:val="00293D7D"/>
    <w:rsid w:val="002A17C1"/>
    <w:rsid w:val="002A54C9"/>
    <w:rsid w:val="002A57FA"/>
    <w:rsid w:val="002A622F"/>
    <w:rsid w:val="002A740F"/>
    <w:rsid w:val="002B34B3"/>
    <w:rsid w:val="002B5B59"/>
    <w:rsid w:val="002B6155"/>
    <w:rsid w:val="002B6D68"/>
    <w:rsid w:val="002D5B77"/>
    <w:rsid w:val="002E0E1D"/>
    <w:rsid w:val="002E26FF"/>
    <w:rsid w:val="002F0032"/>
    <w:rsid w:val="002F1E30"/>
    <w:rsid w:val="003101A9"/>
    <w:rsid w:val="00320E04"/>
    <w:rsid w:val="00325FB8"/>
    <w:rsid w:val="003309DB"/>
    <w:rsid w:val="00331CD1"/>
    <w:rsid w:val="003352AE"/>
    <w:rsid w:val="00347AA4"/>
    <w:rsid w:val="0035129F"/>
    <w:rsid w:val="00355E2A"/>
    <w:rsid w:val="00357629"/>
    <w:rsid w:val="00364459"/>
    <w:rsid w:val="0036553A"/>
    <w:rsid w:val="00366C59"/>
    <w:rsid w:val="00371344"/>
    <w:rsid w:val="003715A6"/>
    <w:rsid w:val="0037513A"/>
    <w:rsid w:val="003808E5"/>
    <w:rsid w:val="0039552E"/>
    <w:rsid w:val="003A1074"/>
    <w:rsid w:val="003A186C"/>
    <w:rsid w:val="003B0DC1"/>
    <w:rsid w:val="003B1D8E"/>
    <w:rsid w:val="003B1FE5"/>
    <w:rsid w:val="003C1BA0"/>
    <w:rsid w:val="003C21E5"/>
    <w:rsid w:val="003C6AB9"/>
    <w:rsid w:val="003D3239"/>
    <w:rsid w:val="003D6A21"/>
    <w:rsid w:val="00402F49"/>
    <w:rsid w:val="00414745"/>
    <w:rsid w:val="004223F9"/>
    <w:rsid w:val="00422DFA"/>
    <w:rsid w:val="00424F67"/>
    <w:rsid w:val="00431D12"/>
    <w:rsid w:val="00432795"/>
    <w:rsid w:val="00435069"/>
    <w:rsid w:val="004427B0"/>
    <w:rsid w:val="00444093"/>
    <w:rsid w:val="00453124"/>
    <w:rsid w:val="00453B0B"/>
    <w:rsid w:val="004560E6"/>
    <w:rsid w:val="00465A50"/>
    <w:rsid w:val="0046713C"/>
    <w:rsid w:val="00470425"/>
    <w:rsid w:val="0047141A"/>
    <w:rsid w:val="00476A8D"/>
    <w:rsid w:val="00477793"/>
    <w:rsid w:val="0048430A"/>
    <w:rsid w:val="00492FE9"/>
    <w:rsid w:val="00496291"/>
    <w:rsid w:val="004D7485"/>
    <w:rsid w:val="004E5F83"/>
    <w:rsid w:val="004E6E8C"/>
    <w:rsid w:val="004E75F4"/>
    <w:rsid w:val="004F56A2"/>
    <w:rsid w:val="005218FE"/>
    <w:rsid w:val="0053087D"/>
    <w:rsid w:val="00533C8E"/>
    <w:rsid w:val="005341EE"/>
    <w:rsid w:val="005361E6"/>
    <w:rsid w:val="005379A5"/>
    <w:rsid w:val="00542C29"/>
    <w:rsid w:val="00552FA8"/>
    <w:rsid w:val="00553869"/>
    <w:rsid w:val="0055556C"/>
    <w:rsid w:val="00557F1B"/>
    <w:rsid w:val="005636FE"/>
    <w:rsid w:val="00574BE7"/>
    <w:rsid w:val="00580E58"/>
    <w:rsid w:val="005907F2"/>
    <w:rsid w:val="00590CDB"/>
    <w:rsid w:val="00596949"/>
    <w:rsid w:val="005B29F4"/>
    <w:rsid w:val="005B5998"/>
    <w:rsid w:val="005C01DB"/>
    <w:rsid w:val="005E6A42"/>
    <w:rsid w:val="00607380"/>
    <w:rsid w:val="00607927"/>
    <w:rsid w:val="006110FE"/>
    <w:rsid w:val="00611DC2"/>
    <w:rsid w:val="00613143"/>
    <w:rsid w:val="00617436"/>
    <w:rsid w:val="006179AC"/>
    <w:rsid w:val="006303E0"/>
    <w:rsid w:val="0064201D"/>
    <w:rsid w:val="00651CEA"/>
    <w:rsid w:val="0065499D"/>
    <w:rsid w:val="00657222"/>
    <w:rsid w:val="006652EB"/>
    <w:rsid w:val="00685C65"/>
    <w:rsid w:val="00687AAC"/>
    <w:rsid w:val="006958CC"/>
    <w:rsid w:val="00695A19"/>
    <w:rsid w:val="006974BB"/>
    <w:rsid w:val="006A1B95"/>
    <w:rsid w:val="006A5DFF"/>
    <w:rsid w:val="006B2C20"/>
    <w:rsid w:val="006B2E06"/>
    <w:rsid w:val="006B3E51"/>
    <w:rsid w:val="006C372E"/>
    <w:rsid w:val="006D5349"/>
    <w:rsid w:val="006E1133"/>
    <w:rsid w:val="006E2A76"/>
    <w:rsid w:val="006E504C"/>
    <w:rsid w:val="00705DFC"/>
    <w:rsid w:val="00711722"/>
    <w:rsid w:val="00715BB4"/>
    <w:rsid w:val="00716C6A"/>
    <w:rsid w:val="00747923"/>
    <w:rsid w:val="00755D00"/>
    <w:rsid w:val="00762DD4"/>
    <w:rsid w:val="00763E18"/>
    <w:rsid w:val="0077251E"/>
    <w:rsid w:val="00772737"/>
    <w:rsid w:val="00773419"/>
    <w:rsid w:val="00792B28"/>
    <w:rsid w:val="007941BB"/>
    <w:rsid w:val="007947C5"/>
    <w:rsid w:val="007971E1"/>
    <w:rsid w:val="00797372"/>
    <w:rsid w:val="007A0898"/>
    <w:rsid w:val="007A0A9D"/>
    <w:rsid w:val="007B0E9A"/>
    <w:rsid w:val="007B68BA"/>
    <w:rsid w:val="007C2BBD"/>
    <w:rsid w:val="007D7DF2"/>
    <w:rsid w:val="007D7EFF"/>
    <w:rsid w:val="007F29E3"/>
    <w:rsid w:val="007F2AE4"/>
    <w:rsid w:val="00802606"/>
    <w:rsid w:val="008103F0"/>
    <w:rsid w:val="00811075"/>
    <w:rsid w:val="00815454"/>
    <w:rsid w:val="00822F57"/>
    <w:rsid w:val="00823C9D"/>
    <w:rsid w:val="00826ADF"/>
    <w:rsid w:val="00831F05"/>
    <w:rsid w:val="00834C8F"/>
    <w:rsid w:val="008355A9"/>
    <w:rsid w:val="00853AD1"/>
    <w:rsid w:val="00853BE5"/>
    <w:rsid w:val="00856BBC"/>
    <w:rsid w:val="00874AD6"/>
    <w:rsid w:val="00882D0B"/>
    <w:rsid w:val="0088386A"/>
    <w:rsid w:val="00892B2E"/>
    <w:rsid w:val="008A012C"/>
    <w:rsid w:val="008A42D8"/>
    <w:rsid w:val="008B5494"/>
    <w:rsid w:val="008B65D3"/>
    <w:rsid w:val="008C04BC"/>
    <w:rsid w:val="008C4772"/>
    <w:rsid w:val="008C60D7"/>
    <w:rsid w:val="008D31A4"/>
    <w:rsid w:val="008E02F9"/>
    <w:rsid w:val="008E7BF8"/>
    <w:rsid w:val="008F0750"/>
    <w:rsid w:val="008F4B43"/>
    <w:rsid w:val="008F53E0"/>
    <w:rsid w:val="0091183B"/>
    <w:rsid w:val="00917432"/>
    <w:rsid w:val="00923E78"/>
    <w:rsid w:val="00931D73"/>
    <w:rsid w:val="00933BEA"/>
    <w:rsid w:val="00935B9C"/>
    <w:rsid w:val="00971767"/>
    <w:rsid w:val="009826F0"/>
    <w:rsid w:val="009844D7"/>
    <w:rsid w:val="009934E7"/>
    <w:rsid w:val="009A3B78"/>
    <w:rsid w:val="009A4899"/>
    <w:rsid w:val="009B255B"/>
    <w:rsid w:val="009B2A73"/>
    <w:rsid w:val="009C287F"/>
    <w:rsid w:val="009D3204"/>
    <w:rsid w:val="009F0A3C"/>
    <w:rsid w:val="009F7828"/>
    <w:rsid w:val="00A036DE"/>
    <w:rsid w:val="00A03A70"/>
    <w:rsid w:val="00A06313"/>
    <w:rsid w:val="00A21A3F"/>
    <w:rsid w:val="00A37E65"/>
    <w:rsid w:val="00A37EDF"/>
    <w:rsid w:val="00A40938"/>
    <w:rsid w:val="00A410D4"/>
    <w:rsid w:val="00A42528"/>
    <w:rsid w:val="00A85B25"/>
    <w:rsid w:val="00AA1170"/>
    <w:rsid w:val="00AA3296"/>
    <w:rsid w:val="00AB0E4E"/>
    <w:rsid w:val="00AC42A5"/>
    <w:rsid w:val="00AC4FD3"/>
    <w:rsid w:val="00AC53B4"/>
    <w:rsid w:val="00AC5D0E"/>
    <w:rsid w:val="00AD29D4"/>
    <w:rsid w:val="00AD76DD"/>
    <w:rsid w:val="00AE286E"/>
    <w:rsid w:val="00AF1181"/>
    <w:rsid w:val="00AF6BBC"/>
    <w:rsid w:val="00B06891"/>
    <w:rsid w:val="00B17AD1"/>
    <w:rsid w:val="00B2551D"/>
    <w:rsid w:val="00B4096A"/>
    <w:rsid w:val="00B41ACF"/>
    <w:rsid w:val="00B466A8"/>
    <w:rsid w:val="00B52CA6"/>
    <w:rsid w:val="00B548B7"/>
    <w:rsid w:val="00B5511F"/>
    <w:rsid w:val="00B579E5"/>
    <w:rsid w:val="00B60646"/>
    <w:rsid w:val="00B63EA6"/>
    <w:rsid w:val="00B726CC"/>
    <w:rsid w:val="00B72C83"/>
    <w:rsid w:val="00B85BB7"/>
    <w:rsid w:val="00B8712F"/>
    <w:rsid w:val="00BA28DF"/>
    <w:rsid w:val="00BA3D81"/>
    <w:rsid w:val="00BB0172"/>
    <w:rsid w:val="00BB1E66"/>
    <w:rsid w:val="00BC6ABF"/>
    <w:rsid w:val="00BD5996"/>
    <w:rsid w:val="00BD5EB1"/>
    <w:rsid w:val="00BD7BB2"/>
    <w:rsid w:val="00BD7EC3"/>
    <w:rsid w:val="00BF44E4"/>
    <w:rsid w:val="00BF59A8"/>
    <w:rsid w:val="00BF7A2C"/>
    <w:rsid w:val="00C105FF"/>
    <w:rsid w:val="00C30D43"/>
    <w:rsid w:val="00C32664"/>
    <w:rsid w:val="00C32718"/>
    <w:rsid w:val="00C36318"/>
    <w:rsid w:val="00C377BC"/>
    <w:rsid w:val="00C46B67"/>
    <w:rsid w:val="00C476D3"/>
    <w:rsid w:val="00C512D3"/>
    <w:rsid w:val="00C535D2"/>
    <w:rsid w:val="00C543DE"/>
    <w:rsid w:val="00C65627"/>
    <w:rsid w:val="00C65805"/>
    <w:rsid w:val="00C677BA"/>
    <w:rsid w:val="00C71120"/>
    <w:rsid w:val="00C724BE"/>
    <w:rsid w:val="00C7682D"/>
    <w:rsid w:val="00C80877"/>
    <w:rsid w:val="00C871D1"/>
    <w:rsid w:val="00CA4D59"/>
    <w:rsid w:val="00CB53DA"/>
    <w:rsid w:val="00CB5712"/>
    <w:rsid w:val="00CC370D"/>
    <w:rsid w:val="00CC71CE"/>
    <w:rsid w:val="00CD0D9E"/>
    <w:rsid w:val="00CD613F"/>
    <w:rsid w:val="00CE11E3"/>
    <w:rsid w:val="00CF4807"/>
    <w:rsid w:val="00D068AE"/>
    <w:rsid w:val="00D10751"/>
    <w:rsid w:val="00D27ED4"/>
    <w:rsid w:val="00D33AE8"/>
    <w:rsid w:val="00D44340"/>
    <w:rsid w:val="00D45B49"/>
    <w:rsid w:val="00D57C03"/>
    <w:rsid w:val="00D664FC"/>
    <w:rsid w:val="00D812D0"/>
    <w:rsid w:val="00D83858"/>
    <w:rsid w:val="00D84B04"/>
    <w:rsid w:val="00D87C0F"/>
    <w:rsid w:val="00D9279B"/>
    <w:rsid w:val="00D9672F"/>
    <w:rsid w:val="00DB6241"/>
    <w:rsid w:val="00DB757E"/>
    <w:rsid w:val="00DC2B1B"/>
    <w:rsid w:val="00DC43AE"/>
    <w:rsid w:val="00DC607D"/>
    <w:rsid w:val="00DD0030"/>
    <w:rsid w:val="00DD7D2D"/>
    <w:rsid w:val="00DE18A2"/>
    <w:rsid w:val="00DF0987"/>
    <w:rsid w:val="00DF0A33"/>
    <w:rsid w:val="00E01478"/>
    <w:rsid w:val="00E0302C"/>
    <w:rsid w:val="00E06D17"/>
    <w:rsid w:val="00E07AE9"/>
    <w:rsid w:val="00E15D2D"/>
    <w:rsid w:val="00E1638D"/>
    <w:rsid w:val="00E202D1"/>
    <w:rsid w:val="00E30A8A"/>
    <w:rsid w:val="00E36F25"/>
    <w:rsid w:val="00E37BDF"/>
    <w:rsid w:val="00E5625B"/>
    <w:rsid w:val="00E80803"/>
    <w:rsid w:val="00E92BDA"/>
    <w:rsid w:val="00EA499D"/>
    <w:rsid w:val="00EB3C2A"/>
    <w:rsid w:val="00EC09D8"/>
    <w:rsid w:val="00EC6017"/>
    <w:rsid w:val="00ED0684"/>
    <w:rsid w:val="00ED06AC"/>
    <w:rsid w:val="00ED1CA9"/>
    <w:rsid w:val="00EE20C1"/>
    <w:rsid w:val="00EF117F"/>
    <w:rsid w:val="00F05957"/>
    <w:rsid w:val="00F05992"/>
    <w:rsid w:val="00F1041E"/>
    <w:rsid w:val="00F27DBE"/>
    <w:rsid w:val="00F36CE6"/>
    <w:rsid w:val="00F37E04"/>
    <w:rsid w:val="00F40E7E"/>
    <w:rsid w:val="00F46386"/>
    <w:rsid w:val="00F47CEC"/>
    <w:rsid w:val="00F5485C"/>
    <w:rsid w:val="00F67064"/>
    <w:rsid w:val="00F73446"/>
    <w:rsid w:val="00F82DF5"/>
    <w:rsid w:val="00F82F71"/>
    <w:rsid w:val="00F903BE"/>
    <w:rsid w:val="00F96160"/>
    <w:rsid w:val="00FA175C"/>
    <w:rsid w:val="00FB5E81"/>
    <w:rsid w:val="00FB6CA6"/>
    <w:rsid w:val="00FC6EB8"/>
    <w:rsid w:val="00FD4E92"/>
    <w:rsid w:val="00FE1105"/>
    <w:rsid w:val="00FE484C"/>
    <w:rsid w:val="00FF40F0"/>
    <w:rsid w:val="00FF4D81"/>
    <w:rsid w:val="00FF5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DA6427-82B3-4599-B3F8-00C0EBA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unhideWhenUsed/>
    <w:qFormat/>
    <w:rsid w:val="00422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DD7D2D"/>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iPriority w:val="99"/>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rsid w:val="00223CCF"/>
    <w:rPr>
      <w:sz w:val="16"/>
      <w:szCs w:val="16"/>
    </w:rPr>
  </w:style>
  <w:style w:type="paragraph" w:styleId="Tekstkomentarza">
    <w:name w:val="annotation text"/>
    <w:basedOn w:val="Normalny"/>
    <w:link w:val="TekstkomentarzaZnak"/>
    <w:rsid w:val="00223CCF"/>
    <w:rPr>
      <w:sz w:val="20"/>
      <w:szCs w:val="20"/>
    </w:rPr>
  </w:style>
  <w:style w:type="character" w:customStyle="1" w:styleId="TekstkomentarzaZnak">
    <w:name w:val="Tekst komentarza Znak"/>
    <w:basedOn w:val="Domylnaczcionkaakapitu"/>
    <w:link w:val="Tekstkomentarza"/>
    <w:rsid w:val="00223CCF"/>
    <w:rPr>
      <w:rFonts w:ascii="Arial" w:hAnsi="Arial" w:cs="Arial"/>
    </w:rPr>
  </w:style>
  <w:style w:type="paragraph" w:styleId="Tematkomentarza">
    <w:name w:val="annotation subject"/>
    <w:basedOn w:val="Tekstkomentarza"/>
    <w:next w:val="Tekstkomentarza"/>
    <w:link w:val="TematkomentarzaZnak"/>
    <w:rsid w:val="00223CCF"/>
    <w:rPr>
      <w:b/>
      <w:bCs/>
    </w:rPr>
  </w:style>
  <w:style w:type="character" w:customStyle="1" w:styleId="TematkomentarzaZnak">
    <w:name w:val="Temat komentarza Znak"/>
    <w:basedOn w:val="TekstkomentarzaZnak"/>
    <w:link w:val="Tematkomentarza"/>
    <w:rsid w:val="00223CCF"/>
    <w:rPr>
      <w:rFonts w:ascii="Arial" w:hAnsi="Arial" w:cs="Arial"/>
      <w:b/>
      <w:bCs/>
    </w:rPr>
  </w:style>
  <w:style w:type="paragraph" w:styleId="Tekstdymka">
    <w:name w:val="Balloon Text"/>
    <w:basedOn w:val="Normalny"/>
    <w:link w:val="TekstdymkaZnak"/>
    <w:rsid w:val="00223CCF"/>
    <w:rPr>
      <w:rFonts w:ascii="Tahoma" w:hAnsi="Tahoma" w:cs="Tahoma"/>
      <w:sz w:val="16"/>
      <w:szCs w:val="16"/>
    </w:rPr>
  </w:style>
  <w:style w:type="character" w:customStyle="1" w:styleId="TekstdymkaZnak">
    <w:name w:val="Tekst dymka Znak"/>
    <w:basedOn w:val="Domylnaczcionkaakapitu"/>
    <w:link w:val="Tekstdymka"/>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AD29D4"/>
    <w:pPr>
      <w:ind w:left="720"/>
      <w:contextualSpacing/>
    </w:pPr>
  </w:style>
  <w:style w:type="table" w:styleId="Tabela-Siatka">
    <w:name w:val="Table Grid"/>
    <w:basedOn w:val="Standardowy"/>
    <w:rsid w:val="0023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223F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DD7D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3828">
      <w:bodyDiv w:val="1"/>
      <w:marLeft w:val="0"/>
      <w:marRight w:val="0"/>
      <w:marTop w:val="0"/>
      <w:marBottom w:val="0"/>
      <w:divBdr>
        <w:top w:val="none" w:sz="0" w:space="0" w:color="auto"/>
        <w:left w:val="none" w:sz="0" w:space="0" w:color="auto"/>
        <w:bottom w:val="none" w:sz="0" w:space="0" w:color="auto"/>
        <w:right w:val="none" w:sz="0" w:space="0" w:color="auto"/>
      </w:divBdr>
      <w:divsChild>
        <w:div w:id="883373947">
          <w:marLeft w:val="0"/>
          <w:marRight w:val="0"/>
          <w:marTop w:val="0"/>
          <w:marBottom w:val="0"/>
          <w:divBdr>
            <w:top w:val="none" w:sz="0" w:space="0" w:color="auto"/>
            <w:left w:val="none" w:sz="0" w:space="0" w:color="auto"/>
            <w:bottom w:val="none" w:sz="0" w:space="0" w:color="auto"/>
            <w:right w:val="none" w:sz="0" w:space="0" w:color="auto"/>
          </w:divBdr>
        </w:div>
      </w:divsChild>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376395819">
      <w:bodyDiv w:val="1"/>
      <w:marLeft w:val="0"/>
      <w:marRight w:val="0"/>
      <w:marTop w:val="0"/>
      <w:marBottom w:val="0"/>
      <w:divBdr>
        <w:top w:val="none" w:sz="0" w:space="0" w:color="auto"/>
        <w:left w:val="none" w:sz="0" w:space="0" w:color="auto"/>
        <w:bottom w:val="none" w:sz="0" w:space="0" w:color="auto"/>
        <w:right w:val="none" w:sz="0" w:space="0" w:color="auto"/>
      </w:divBdr>
    </w:div>
    <w:div w:id="588152612">
      <w:bodyDiv w:val="1"/>
      <w:marLeft w:val="0"/>
      <w:marRight w:val="0"/>
      <w:marTop w:val="0"/>
      <w:marBottom w:val="0"/>
      <w:divBdr>
        <w:top w:val="none" w:sz="0" w:space="0" w:color="auto"/>
        <w:left w:val="none" w:sz="0" w:space="0" w:color="auto"/>
        <w:bottom w:val="none" w:sz="0" w:space="0" w:color="auto"/>
        <w:right w:val="none" w:sz="0" w:space="0" w:color="auto"/>
      </w:divBdr>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02586072">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412047738">
      <w:bodyDiv w:val="1"/>
      <w:marLeft w:val="0"/>
      <w:marRight w:val="0"/>
      <w:marTop w:val="0"/>
      <w:marBottom w:val="0"/>
      <w:divBdr>
        <w:top w:val="none" w:sz="0" w:space="0" w:color="auto"/>
        <w:left w:val="none" w:sz="0" w:space="0" w:color="auto"/>
        <w:bottom w:val="none" w:sz="0" w:space="0" w:color="auto"/>
        <w:right w:val="none" w:sz="0" w:space="0" w:color="auto"/>
      </w:divBdr>
      <w:divsChild>
        <w:div w:id="1415860609">
          <w:marLeft w:val="0"/>
          <w:marRight w:val="0"/>
          <w:marTop w:val="0"/>
          <w:marBottom w:val="0"/>
          <w:divBdr>
            <w:top w:val="none" w:sz="0" w:space="0" w:color="auto"/>
            <w:left w:val="none" w:sz="0" w:space="0" w:color="auto"/>
            <w:bottom w:val="none" w:sz="0" w:space="0" w:color="auto"/>
            <w:right w:val="none" w:sz="0" w:space="0" w:color="auto"/>
          </w:divBdr>
          <w:divsChild>
            <w:div w:id="546844787">
              <w:marLeft w:val="0"/>
              <w:marRight w:val="0"/>
              <w:marTop w:val="0"/>
              <w:marBottom w:val="0"/>
              <w:divBdr>
                <w:top w:val="none" w:sz="0" w:space="0" w:color="auto"/>
                <w:left w:val="none" w:sz="0" w:space="0" w:color="auto"/>
                <w:bottom w:val="none" w:sz="0" w:space="0" w:color="auto"/>
                <w:right w:val="none" w:sz="0" w:space="0" w:color="auto"/>
              </w:divBdr>
              <w:divsChild>
                <w:div w:id="2007633201">
                  <w:marLeft w:val="0"/>
                  <w:marRight w:val="0"/>
                  <w:marTop w:val="0"/>
                  <w:marBottom w:val="0"/>
                  <w:divBdr>
                    <w:top w:val="none" w:sz="0" w:space="0" w:color="auto"/>
                    <w:left w:val="none" w:sz="0" w:space="0" w:color="auto"/>
                    <w:bottom w:val="single" w:sz="6" w:space="0" w:color="EAEAEA"/>
                    <w:right w:val="none" w:sz="0" w:space="0" w:color="auto"/>
                  </w:divBdr>
                  <w:divsChild>
                    <w:div w:id="2089308242">
                      <w:marLeft w:val="0"/>
                      <w:marRight w:val="0"/>
                      <w:marTop w:val="0"/>
                      <w:marBottom w:val="0"/>
                      <w:divBdr>
                        <w:top w:val="single" w:sz="6" w:space="15" w:color="EAEAEA"/>
                        <w:left w:val="single" w:sz="6" w:space="15" w:color="EAEAEA"/>
                        <w:bottom w:val="single" w:sz="6" w:space="15" w:color="EAEAEA"/>
                        <w:right w:val="single" w:sz="6" w:space="15" w:color="EAEAEA"/>
                      </w:divBdr>
                      <w:divsChild>
                        <w:div w:id="23094753">
                          <w:marLeft w:val="0"/>
                          <w:marRight w:val="0"/>
                          <w:marTop w:val="0"/>
                          <w:marBottom w:val="0"/>
                          <w:divBdr>
                            <w:top w:val="none" w:sz="0" w:space="0" w:color="auto"/>
                            <w:left w:val="none" w:sz="0" w:space="0" w:color="auto"/>
                            <w:bottom w:val="none" w:sz="0" w:space="0" w:color="auto"/>
                            <w:right w:val="none" w:sz="0" w:space="0" w:color="auto"/>
                          </w:divBdr>
                          <w:divsChild>
                            <w:div w:id="155193999">
                              <w:marLeft w:val="0"/>
                              <w:marRight w:val="0"/>
                              <w:marTop w:val="0"/>
                              <w:marBottom w:val="0"/>
                              <w:divBdr>
                                <w:top w:val="none" w:sz="0" w:space="0" w:color="auto"/>
                                <w:left w:val="none" w:sz="0" w:space="0" w:color="auto"/>
                                <w:bottom w:val="none" w:sz="0" w:space="0" w:color="auto"/>
                                <w:right w:val="none" w:sz="0" w:space="0" w:color="auto"/>
                              </w:divBdr>
                              <w:divsChild>
                                <w:div w:id="8558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048723393">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E293-8E37-42FE-9ACC-1CE73686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11805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Chodakowska, Marzena</cp:lastModifiedBy>
  <cp:revision>2</cp:revision>
  <cp:lastPrinted>2020-03-10T19:49:00Z</cp:lastPrinted>
  <dcterms:created xsi:type="dcterms:W3CDTF">2020-10-28T12:33:00Z</dcterms:created>
  <dcterms:modified xsi:type="dcterms:W3CDTF">2020-10-28T12:33:00Z</dcterms:modified>
</cp:coreProperties>
</file>