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075" w:rsidRPr="00611DC2" w:rsidRDefault="00811075" w:rsidP="00453124">
      <w:pPr>
        <w:jc w:val="right"/>
        <w:rPr>
          <w:rFonts w:ascii="Garamond" w:hAnsi="Garamond"/>
        </w:rPr>
      </w:pPr>
      <w:bookmarkStart w:id="0" w:name="_GoBack"/>
      <w:bookmarkEnd w:id="0"/>
      <w:r w:rsidRPr="00611DC2">
        <w:rPr>
          <w:rFonts w:ascii="Garamond" w:hAnsi="Garamond"/>
          <w:i/>
          <w:iCs/>
        </w:rPr>
        <w:t xml:space="preserve">Warszawa, </w:t>
      </w:r>
      <w:r w:rsidR="00611DC2" w:rsidRPr="00611DC2">
        <w:rPr>
          <w:rFonts w:ascii="Garamond" w:hAnsi="Garamond"/>
          <w:i/>
          <w:iCs/>
        </w:rPr>
        <w:t>27 października 2020</w:t>
      </w:r>
      <w:r w:rsidR="00E80803" w:rsidRPr="00611DC2">
        <w:rPr>
          <w:rFonts w:ascii="Garamond" w:hAnsi="Garamond"/>
          <w:i/>
          <w:iCs/>
        </w:rPr>
        <w:t xml:space="preserve"> </w:t>
      </w:r>
      <w:r w:rsidRPr="00611DC2">
        <w:rPr>
          <w:rFonts w:ascii="Garamond" w:hAnsi="Garamond"/>
          <w:i/>
          <w:iCs/>
        </w:rPr>
        <w:t>roku</w:t>
      </w:r>
    </w:p>
    <w:p w:rsidR="006179AC" w:rsidRPr="00611DC2" w:rsidRDefault="006179AC" w:rsidP="00611DC2">
      <w:pPr>
        <w:jc w:val="center"/>
        <w:rPr>
          <w:rFonts w:ascii="Garamond" w:hAnsi="Garamond"/>
          <w:b/>
        </w:rPr>
      </w:pPr>
    </w:p>
    <w:p w:rsidR="00DD7D2D" w:rsidRPr="00755D00" w:rsidRDefault="00611DC2" w:rsidP="00611DC2">
      <w:pPr>
        <w:jc w:val="center"/>
        <w:rPr>
          <w:rFonts w:ascii="Garamond" w:hAnsi="Garamond"/>
          <w:b/>
          <w:sz w:val="28"/>
        </w:rPr>
      </w:pPr>
      <w:r w:rsidRPr="00755D00">
        <w:rPr>
          <w:rFonts w:ascii="Garamond" w:hAnsi="Garamond"/>
          <w:b/>
          <w:sz w:val="28"/>
        </w:rPr>
        <w:t xml:space="preserve">Zdalna nauka i </w:t>
      </w:r>
      <w:r w:rsidR="00695A19">
        <w:rPr>
          <w:rFonts w:ascii="Garamond" w:hAnsi="Garamond"/>
          <w:b/>
          <w:sz w:val="28"/>
        </w:rPr>
        <w:t>funkcjonowanie</w:t>
      </w:r>
      <w:r w:rsidRPr="00755D00">
        <w:rPr>
          <w:rFonts w:ascii="Garamond" w:hAnsi="Garamond"/>
          <w:b/>
          <w:sz w:val="28"/>
        </w:rPr>
        <w:t xml:space="preserve"> szkół oraz placówek</w:t>
      </w:r>
    </w:p>
    <w:p w:rsidR="00611DC2" w:rsidRPr="00611DC2" w:rsidRDefault="00611DC2" w:rsidP="00611DC2">
      <w:pPr>
        <w:jc w:val="center"/>
        <w:rPr>
          <w:rFonts w:ascii="Garamond" w:hAnsi="Garamond"/>
          <w:b/>
        </w:rPr>
      </w:pPr>
    </w:p>
    <w:p w:rsidR="00611DC2" w:rsidRPr="00611DC2" w:rsidRDefault="007D7EFF" w:rsidP="00D57C03">
      <w:pPr>
        <w:jc w:val="both"/>
        <w:rPr>
          <w:rFonts w:ascii="Garamond" w:hAnsi="Garamond"/>
          <w:b/>
        </w:rPr>
      </w:pPr>
      <w:r>
        <w:rPr>
          <w:rFonts w:ascii="Garamond" w:hAnsi="Garamond"/>
          <w:b/>
        </w:rPr>
        <w:t xml:space="preserve">  </w:t>
      </w:r>
    </w:p>
    <w:p w:rsidR="00611DC2" w:rsidRPr="00DB6241" w:rsidRDefault="00611DC2" w:rsidP="00611DC2">
      <w:pPr>
        <w:spacing w:after="160" w:line="259" w:lineRule="auto"/>
        <w:jc w:val="both"/>
        <w:rPr>
          <w:rFonts w:ascii="Garamond" w:eastAsia="Calibri" w:hAnsi="Garamond" w:cs="Times New Roman"/>
          <w:b/>
          <w:lang w:eastAsia="en-US"/>
        </w:rPr>
      </w:pPr>
      <w:r w:rsidRPr="00DB6241">
        <w:rPr>
          <w:rFonts w:ascii="Garamond" w:eastAsia="Calibri" w:hAnsi="Garamond" w:cs="Times New Roman"/>
          <w:b/>
          <w:lang w:eastAsia="en-US"/>
        </w:rPr>
        <w:t>Od 24 października br. uczniowie klas IV-VIII szkół podstawowych i wszystkich klas szkół ponadpodstawowych, a także słuchacze placówek kształcenia ustawicznego oraz centrów kształcenia zawodowego</w:t>
      </w:r>
      <w:r w:rsidR="00496291">
        <w:rPr>
          <w:rFonts w:ascii="Garamond" w:eastAsia="Calibri" w:hAnsi="Garamond" w:cs="Times New Roman"/>
          <w:b/>
          <w:lang w:eastAsia="en-US"/>
        </w:rPr>
        <w:t xml:space="preserve"> mają kształcenie zdalne. </w:t>
      </w:r>
      <w:r w:rsidRPr="00DB6241">
        <w:rPr>
          <w:rFonts w:ascii="Garamond" w:eastAsia="Calibri" w:hAnsi="Garamond" w:cs="Times New Roman"/>
          <w:b/>
          <w:lang w:eastAsia="en-US"/>
        </w:rPr>
        <w:t>Łącznie to ok. 3,8 mln osób. W trybie stacjonarnym uczy się teraz 1,4 mln przedszkolaków oraz 1,1 mln uczniów klas I-III szkół podstawowych. Ta</w:t>
      </w:r>
      <w:r w:rsidR="00122FD4">
        <w:rPr>
          <w:rFonts w:ascii="Garamond" w:eastAsia="Calibri" w:hAnsi="Garamond" w:cs="Times New Roman"/>
          <w:b/>
          <w:lang w:eastAsia="en-US"/>
        </w:rPr>
        <w:t xml:space="preserve">ką naukę mają również uczniowie </w:t>
      </w:r>
      <w:r w:rsidRPr="00DB6241">
        <w:rPr>
          <w:rFonts w:ascii="Garamond" w:eastAsia="Calibri" w:hAnsi="Garamond" w:cs="Times New Roman"/>
          <w:b/>
          <w:lang w:eastAsia="en-US"/>
        </w:rPr>
        <w:t>szkół specjalnych klas IV-VIII. To ponad 33 tys. dzieci, które uczą się w 982 szkołach.</w:t>
      </w:r>
    </w:p>
    <w:p w:rsidR="00611DC2" w:rsidRPr="00611DC2" w:rsidRDefault="00611DC2" w:rsidP="00611DC2">
      <w:pPr>
        <w:spacing w:after="160" w:line="259" w:lineRule="auto"/>
        <w:jc w:val="both"/>
        <w:rPr>
          <w:rFonts w:ascii="Garamond" w:eastAsia="Calibri" w:hAnsi="Garamond" w:cs="Times New Roman"/>
          <w:lang w:eastAsia="en-US"/>
        </w:rPr>
      </w:pPr>
      <w:r w:rsidRPr="00611DC2">
        <w:rPr>
          <w:rFonts w:ascii="Garamond" w:eastAsia="Calibri" w:hAnsi="Garamond" w:cs="Times New Roman"/>
          <w:lang w:eastAsia="en-US"/>
        </w:rPr>
        <w:t>Nauczanie zdalne zostało wprowadzone do czasu zahamowania wzrostu zakażeń.</w:t>
      </w:r>
    </w:p>
    <w:p w:rsidR="00611DC2" w:rsidRPr="00611DC2" w:rsidRDefault="00611DC2" w:rsidP="00611DC2">
      <w:pPr>
        <w:spacing w:after="160" w:line="259" w:lineRule="auto"/>
        <w:jc w:val="both"/>
        <w:rPr>
          <w:rFonts w:ascii="Garamond" w:eastAsia="Calibri" w:hAnsi="Garamond" w:cs="Times New Roman"/>
          <w:lang w:eastAsia="en-US"/>
        </w:rPr>
      </w:pPr>
      <w:r w:rsidRPr="00611DC2">
        <w:rPr>
          <w:rFonts w:ascii="Garamond" w:eastAsia="Calibri" w:hAnsi="Garamond" w:cs="Times New Roman"/>
          <w:lang w:eastAsia="en-US"/>
        </w:rPr>
        <w:t>Przygotowania do roku szkolnego 2020/2021 opierały się na analizie doświadczeń z pracy szkół i placówek w czasie ich ograniczonego funkcjonowania od połowy marca do czerwca 2020 r. W tym szczególnym czasie edukacja dzieci i młodzieży nie została przerwana, a proces dydaktyczny był kontynuowany. O</w:t>
      </w:r>
      <w:r w:rsidR="00122FD4">
        <w:rPr>
          <w:rFonts w:ascii="Garamond" w:eastAsia="Calibri" w:hAnsi="Garamond" w:cs="Times New Roman"/>
          <w:lang w:eastAsia="en-US"/>
        </w:rPr>
        <w:t>d</w:t>
      </w:r>
      <w:r w:rsidRPr="00611DC2">
        <w:rPr>
          <w:rFonts w:ascii="Garamond" w:eastAsia="Calibri" w:hAnsi="Garamond" w:cs="Times New Roman"/>
          <w:lang w:eastAsia="en-US"/>
        </w:rPr>
        <w:t xml:space="preserve">był się także egzamin ósmoklasisty i egzamin maturalny. </w:t>
      </w:r>
    </w:p>
    <w:p w:rsidR="00611DC2" w:rsidRPr="00611DC2" w:rsidRDefault="00611DC2" w:rsidP="00611DC2">
      <w:pPr>
        <w:spacing w:after="160" w:line="259" w:lineRule="auto"/>
        <w:jc w:val="both"/>
        <w:rPr>
          <w:rFonts w:ascii="Garamond" w:eastAsia="Calibri" w:hAnsi="Garamond" w:cs="Times New Roman"/>
          <w:lang w:eastAsia="en-US"/>
        </w:rPr>
      </w:pPr>
      <w:r w:rsidRPr="00611DC2">
        <w:rPr>
          <w:rFonts w:ascii="Garamond" w:eastAsia="Calibri" w:hAnsi="Garamond" w:cs="Times New Roman"/>
          <w:lang w:eastAsia="en-US"/>
        </w:rPr>
        <w:t>Rozwiązania w zakresie powrotu uczniów do szkół zastosowane w Polsce były podobne do rozwiązań przyjętych w innych państwach europejskich.</w:t>
      </w:r>
    </w:p>
    <w:p w:rsidR="00611DC2" w:rsidRPr="00611DC2" w:rsidRDefault="00611DC2" w:rsidP="00611DC2">
      <w:pPr>
        <w:spacing w:after="160" w:line="259" w:lineRule="auto"/>
        <w:jc w:val="both"/>
        <w:rPr>
          <w:rFonts w:ascii="Garamond" w:eastAsia="Calibri" w:hAnsi="Garamond" w:cs="Times New Roman"/>
          <w:lang w:eastAsia="en-US"/>
        </w:rPr>
      </w:pPr>
      <w:r w:rsidRPr="00611DC2">
        <w:rPr>
          <w:rFonts w:ascii="Garamond" w:eastAsia="Calibri" w:hAnsi="Garamond" w:cs="Times New Roman"/>
          <w:lang w:eastAsia="en-US"/>
        </w:rPr>
        <w:t>W sierpniu przygotowaliśmy poradnik „Dobre praktyki dotyczące funkcjonowania jednostek systemu oświaty w okresie zapobiegania, przeciwdziałania i zwalczania COVID-19”. Materiał został opracowany na podstawie informacji zebranych przez kuratorów oświaty od dyrektorów szkół. Poradnik zawiera praktyczne wskazówki, jak organizować nauczanie na odległość czy nauczanie w wariancie mieszanym.</w:t>
      </w:r>
    </w:p>
    <w:p w:rsidR="00611DC2" w:rsidRPr="00611DC2" w:rsidRDefault="00611DC2" w:rsidP="00611DC2">
      <w:pPr>
        <w:spacing w:after="160" w:line="259" w:lineRule="auto"/>
        <w:jc w:val="both"/>
        <w:rPr>
          <w:rFonts w:ascii="Garamond" w:eastAsia="Calibri" w:hAnsi="Garamond" w:cs="Times New Roman"/>
          <w:b/>
          <w:lang w:eastAsia="en-US"/>
        </w:rPr>
      </w:pPr>
      <w:r w:rsidRPr="00611DC2">
        <w:rPr>
          <w:rFonts w:ascii="Garamond" w:eastAsia="Calibri" w:hAnsi="Garamond" w:cs="Times New Roman"/>
          <w:b/>
          <w:lang w:eastAsia="en-US"/>
        </w:rPr>
        <w:t xml:space="preserve">Zdalna lekcja może trwać 30 minut </w:t>
      </w:r>
    </w:p>
    <w:p w:rsidR="00611DC2" w:rsidRPr="00611DC2" w:rsidRDefault="00611DC2" w:rsidP="00611DC2">
      <w:pPr>
        <w:spacing w:after="160" w:line="259" w:lineRule="auto"/>
        <w:jc w:val="both"/>
        <w:rPr>
          <w:rFonts w:ascii="Garamond" w:eastAsia="Calibri" w:hAnsi="Garamond" w:cs="Times New Roman"/>
          <w:lang w:eastAsia="en-US"/>
        </w:rPr>
      </w:pPr>
      <w:r w:rsidRPr="00611DC2">
        <w:rPr>
          <w:rFonts w:ascii="Garamond" w:eastAsia="Calibri" w:hAnsi="Garamond" w:cs="Times New Roman"/>
          <w:lang w:eastAsia="en-US"/>
        </w:rPr>
        <w:t xml:space="preserve">We wrześniu </w:t>
      </w:r>
      <w:r w:rsidR="00122FD4">
        <w:rPr>
          <w:rFonts w:ascii="Garamond" w:eastAsia="Calibri" w:hAnsi="Garamond" w:cs="Times New Roman"/>
          <w:lang w:eastAsia="en-US"/>
        </w:rPr>
        <w:t xml:space="preserve">br. </w:t>
      </w:r>
      <w:r w:rsidRPr="00611DC2">
        <w:rPr>
          <w:rFonts w:ascii="Garamond" w:eastAsia="Calibri" w:hAnsi="Garamond" w:cs="Times New Roman"/>
          <w:lang w:eastAsia="en-US"/>
        </w:rPr>
        <w:t xml:space="preserve">wprowadziliśmy ułatwienia w funkcjonowaniu szkół. W tym roku szkolnym czas trwania godziny lekcyjnej prowadzonej zdalnie będzie mógł wynosić od 30 do 60 minut. Wprowadzone przez MEN zmiany pozwalają dostosować czas zajęć edukacyjnych do indywidualnych potrzeb szkoły i charakteru zajęć edukacyjnych. Jednocześnie obowiązuje zasada, że podstawowym wymiarem czasu trwania poszczególnych zajęć edukacyjnych jest 45 minut. </w:t>
      </w:r>
    </w:p>
    <w:p w:rsidR="00611DC2" w:rsidRPr="00611DC2" w:rsidRDefault="00611DC2" w:rsidP="00611DC2">
      <w:pPr>
        <w:spacing w:after="160" w:line="259" w:lineRule="auto"/>
        <w:jc w:val="both"/>
        <w:rPr>
          <w:rFonts w:ascii="Garamond" w:eastAsia="Calibri" w:hAnsi="Garamond" w:cs="Times New Roman"/>
          <w:lang w:eastAsia="en-US"/>
        </w:rPr>
      </w:pPr>
      <w:r w:rsidRPr="00611DC2">
        <w:rPr>
          <w:rFonts w:ascii="Garamond" w:eastAsia="Calibri" w:hAnsi="Garamond" w:cs="Times New Roman"/>
          <w:lang w:eastAsia="en-US"/>
        </w:rPr>
        <w:lastRenderedPageBreak/>
        <w:t>Ponadto dyrektor szkoły może, po zasięgnięciu opinii rady pedagogicznej, czasowo zmodyfikować tygodniowy lub semestralny rozkład zajęć w zakresie prowadzonych w jednostce systemu oświaty zajęć z wykorzystaniem metod i technik kształcenia na odległość lub innego sposobu realizacji tych zajęć.</w:t>
      </w:r>
    </w:p>
    <w:p w:rsidR="00611DC2" w:rsidRPr="00611DC2" w:rsidRDefault="00611DC2" w:rsidP="00611DC2">
      <w:pPr>
        <w:spacing w:after="160" w:line="259" w:lineRule="auto"/>
        <w:jc w:val="both"/>
        <w:rPr>
          <w:rFonts w:ascii="Garamond" w:eastAsia="Calibri" w:hAnsi="Garamond" w:cs="Times New Roman"/>
          <w:lang w:eastAsia="en-US"/>
        </w:rPr>
      </w:pPr>
      <w:r w:rsidRPr="00611DC2">
        <w:rPr>
          <w:rFonts w:ascii="Garamond" w:eastAsia="Calibri" w:hAnsi="Garamond" w:cs="Times New Roman"/>
          <w:lang w:eastAsia="en-US"/>
        </w:rPr>
        <w:t>Indywidualne nauczanie można prowadzić bez bezpośredniego kontaktu uczeń-nauczyciel, lekcja zdalna może trwać od 30 do 60 minut, a nauczyciel może zmodyfikować tygodniowy rozkład zajęć – to nowe rozwiązania prawne wprowadzone na ten rok szkolny, które są pomocne w organizowaniu kształcenia w czasie pandemii.</w:t>
      </w:r>
    </w:p>
    <w:p w:rsidR="00611DC2" w:rsidRPr="00611DC2" w:rsidRDefault="00611DC2" w:rsidP="00611DC2">
      <w:pPr>
        <w:spacing w:after="160" w:line="259" w:lineRule="auto"/>
        <w:jc w:val="both"/>
        <w:rPr>
          <w:rFonts w:ascii="Garamond" w:eastAsia="Calibri" w:hAnsi="Garamond" w:cs="Times New Roman"/>
          <w:b/>
          <w:lang w:eastAsia="en-US"/>
        </w:rPr>
      </w:pPr>
      <w:r w:rsidRPr="00611DC2">
        <w:rPr>
          <w:rFonts w:ascii="Garamond" w:eastAsia="Calibri" w:hAnsi="Garamond" w:cs="Times New Roman"/>
          <w:b/>
          <w:lang w:eastAsia="en-US"/>
        </w:rPr>
        <w:t xml:space="preserve">Dostęp uczniów do komputera – wyniki badań międzynarodowych </w:t>
      </w:r>
    </w:p>
    <w:p w:rsidR="00122FD4" w:rsidRDefault="00611DC2" w:rsidP="00611DC2">
      <w:pPr>
        <w:spacing w:after="160" w:line="259" w:lineRule="auto"/>
        <w:jc w:val="both"/>
        <w:rPr>
          <w:rFonts w:ascii="Garamond" w:eastAsia="Calibri" w:hAnsi="Garamond" w:cs="Times New Roman"/>
          <w:lang w:eastAsia="en-US"/>
        </w:rPr>
      </w:pPr>
      <w:r w:rsidRPr="00611DC2">
        <w:rPr>
          <w:rFonts w:ascii="Garamond" w:eastAsia="Calibri" w:hAnsi="Garamond" w:cs="Times New Roman"/>
          <w:lang w:eastAsia="en-US"/>
        </w:rPr>
        <w:t xml:space="preserve">Warunkiem prowadzenia zajęć on-line, np. z wykorzystaniem e-materiałów, jest zapewnienie uczniom dostępu do komputera. </w:t>
      </w:r>
    </w:p>
    <w:p w:rsidR="00611DC2" w:rsidRPr="00611DC2" w:rsidRDefault="00611DC2" w:rsidP="00611DC2">
      <w:pPr>
        <w:spacing w:after="160" w:line="259" w:lineRule="auto"/>
        <w:jc w:val="both"/>
        <w:rPr>
          <w:rFonts w:ascii="Garamond" w:eastAsia="Calibri" w:hAnsi="Garamond" w:cs="Times New Roman"/>
          <w:lang w:eastAsia="en-US"/>
        </w:rPr>
      </w:pPr>
      <w:r w:rsidRPr="00611DC2">
        <w:rPr>
          <w:rFonts w:ascii="Garamond" w:eastAsia="Calibri" w:hAnsi="Garamond" w:cs="Times New Roman"/>
          <w:lang w:eastAsia="en-US"/>
        </w:rPr>
        <w:t>Według danych z badania PISA 2018 nie wszystkie kraje spełniały ten warunek. W Polsce 96% uczniów zgłosiło posiadanie komputera, którego mogą używać do pracy w domu, co jest wartością wyższą niż średnia OECD (89%).</w:t>
      </w:r>
    </w:p>
    <w:p w:rsidR="00611DC2" w:rsidRPr="00611DC2" w:rsidRDefault="00611DC2" w:rsidP="00611DC2">
      <w:pPr>
        <w:spacing w:after="160" w:line="259" w:lineRule="auto"/>
        <w:jc w:val="both"/>
        <w:rPr>
          <w:rFonts w:ascii="Garamond" w:eastAsia="Calibri" w:hAnsi="Garamond" w:cs="Times New Roman"/>
          <w:b/>
          <w:lang w:eastAsia="en-US"/>
        </w:rPr>
      </w:pPr>
      <w:r w:rsidRPr="00611DC2">
        <w:rPr>
          <w:rFonts w:ascii="Garamond" w:eastAsia="Calibri" w:hAnsi="Garamond" w:cs="Times New Roman"/>
          <w:b/>
          <w:lang w:eastAsia="en-US"/>
        </w:rPr>
        <w:t xml:space="preserve">Nauka na odległość </w:t>
      </w:r>
    </w:p>
    <w:p w:rsidR="00611DC2" w:rsidRPr="00611DC2" w:rsidRDefault="00611DC2" w:rsidP="00611DC2">
      <w:pPr>
        <w:spacing w:after="160" w:line="259" w:lineRule="auto"/>
        <w:jc w:val="both"/>
        <w:rPr>
          <w:rFonts w:ascii="Garamond" w:eastAsia="Calibri" w:hAnsi="Garamond" w:cs="Times New Roman"/>
          <w:lang w:eastAsia="en-US"/>
        </w:rPr>
      </w:pPr>
      <w:r w:rsidRPr="00611DC2">
        <w:rPr>
          <w:rFonts w:ascii="Garamond" w:eastAsia="Calibri" w:hAnsi="Garamond" w:cs="Times New Roman"/>
          <w:lang w:eastAsia="en-US"/>
        </w:rPr>
        <w:t xml:space="preserve">12 sierpnia br. Minister Edukacji Narodowej przygotował 5 rozporządzeń, które pozwoliły szkołom i placówkom – w razie zagrożenia epidemicznego – wprowadzić odpowiednie, dostosowane do sytuacji rozwiązania. </w:t>
      </w:r>
    </w:p>
    <w:p w:rsidR="00611DC2" w:rsidRPr="00611DC2" w:rsidRDefault="00611DC2" w:rsidP="00611DC2">
      <w:pPr>
        <w:spacing w:after="160" w:line="259" w:lineRule="auto"/>
        <w:jc w:val="both"/>
        <w:rPr>
          <w:rFonts w:ascii="Garamond" w:eastAsia="Calibri" w:hAnsi="Garamond" w:cs="Times New Roman"/>
          <w:lang w:eastAsia="en-US"/>
        </w:rPr>
      </w:pPr>
      <w:r w:rsidRPr="00611DC2">
        <w:rPr>
          <w:rFonts w:ascii="Garamond" w:eastAsia="Calibri" w:hAnsi="Garamond" w:cs="Times New Roman"/>
          <w:lang w:eastAsia="en-US"/>
        </w:rPr>
        <w:t xml:space="preserve">Dzięki tym rozwiązaniom na długo przed rozpoczęciem nowego roku szkolnego dyrektorzy szkół i placówek dostali narzędzia pozwalające na odpowiednią organizację zajęć w szkole, szczególnie jeśli sytuacja epidemiologiczna zagrozi zdrowiu uczniów. </w:t>
      </w:r>
    </w:p>
    <w:p w:rsidR="00611DC2" w:rsidRPr="00611DC2" w:rsidRDefault="00611DC2" w:rsidP="00611DC2">
      <w:pPr>
        <w:spacing w:after="160" w:line="259" w:lineRule="auto"/>
        <w:jc w:val="both"/>
        <w:rPr>
          <w:rFonts w:ascii="Garamond" w:eastAsia="Calibri" w:hAnsi="Garamond" w:cs="Times New Roman"/>
          <w:b/>
          <w:lang w:eastAsia="en-US"/>
        </w:rPr>
      </w:pPr>
      <w:r w:rsidRPr="00611DC2">
        <w:rPr>
          <w:rFonts w:ascii="Garamond" w:eastAsia="Calibri" w:hAnsi="Garamond" w:cs="Times New Roman"/>
          <w:b/>
          <w:lang w:eastAsia="en-US"/>
        </w:rPr>
        <w:t xml:space="preserve">Rozwijamy Zintegrowaną Platformę Edukacyjną epodreczniki.pl </w:t>
      </w:r>
    </w:p>
    <w:p w:rsidR="00611DC2" w:rsidRPr="00611DC2" w:rsidRDefault="00611DC2" w:rsidP="00611DC2">
      <w:pPr>
        <w:spacing w:after="160" w:line="259" w:lineRule="auto"/>
        <w:jc w:val="both"/>
        <w:rPr>
          <w:rFonts w:ascii="Garamond" w:eastAsia="Calibri" w:hAnsi="Garamond" w:cs="Times New Roman"/>
          <w:lang w:eastAsia="en-US"/>
        </w:rPr>
      </w:pPr>
      <w:r w:rsidRPr="00611DC2">
        <w:rPr>
          <w:rFonts w:ascii="Garamond" w:eastAsia="Calibri" w:hAnsi="Garamond" w:cs="Times New Roman"/>
          <w:lang w:eastAsia="en-US"/>
        </w:rPr>
        <w:t xml:space="preserve">Nauczyciele i uczniowie w kształceniu na odległość mogą korzystać ze Zintegrowanej Platformy Edukacyjnej epodręczniki.pl, którą przygotowało MEN.  </w:t>
      </w:r>
    </w:p>
    <w:p w:rsidR="00611DC2" w:rsidRPr="00611DC2" w:rsidRDefault="00611DC2" w:rsidP="00611DC2">
      <w:pPr>
        <w:spacing w:after="160" w:line="259" w:lineRule="auto"/>
        <w:jc w:val="both"/>
        <w:rPr>
          <w:rFonts w:ascii="Garamond" w:eastAsia="Calibri" w:hAnsi="Garamond" w:cs="Times New Roman"/>
          <w:lang w:eastAsia="en-US"/>
        </w:rPr>
      </w:pPr>
      <w:r w:rsidRPr="00611DC2">
        <w:rPr>
          <w:rFonts w:ascii="Garamond" w:eastAsia="Calibri" w:hAnsi="Garamond" w:cs="Times New Roman"/>
          <w:lang w:eastAsia="en-US"/>
        </w:rPr>
        <w:t>Platforma epodreczniki.pl pozwala na planowanie procesu nauki zdalnej i monitorowanie postępów uczniów</w:t>
      </w:r>
      <w:r w:rsidR="00122FD4">
        <w:rPr>
          <w:rFonts w:ascii="Garamond" w:eastAsia="Calibri" w:hAnsi="Garamond" w:cs="Times New Roman"/>
          <w:lang w:eastAsia="en-US"/>
        </w:rPr>
        <w:t>. D</w:t>
      </w:r>
      <w:r w:rsidRPr="00611DC2">
        <w:rPr>
          <w:rFonts w:ascii="Garamond" w:eastAsia="Calibri" w:hAnsi="Garamond" w:cs="Times New Roman"/>
          <w:lang w:eastAsia="en-US"/>
        </w:rPr>
        <w:t xml:space="preserve">zięki wbudowanym modułom komunikacyjnym umożliwia </w:t>
      </w:r>
      <w:r w:rsidR="00122FD4">
        <w:rPr>
          <w:rFonts w:ascii="Garamond" w:eastAsia="Calibri" w:hAnsi="Garamond" w:cs="Times New Roman"/>
          <w:lang w:eastAsia="en-US"/>
        </w:rPr>
        <w:t xml:space="preserve">ona </w:t>
      </w:r>
      <w:r w:rsidRPr="00611DC2">
        <w:rPr>
          <w:rFonts w:ascii="Garamond" w:eastAsia="Calibri" w:hAnsi="Garamond" w:cs="Times New Roman"/>
          <w:lang w:eastAsia="en-US"/>
        </w:rPr>
        <w:t xml:space="preserve">komunikację pomiędzy nauczycielami i uczniami. ZPE korzysta z danych pochodzących z Systemu Informacji Oświatowej. Na podstawie tych danych każdy nauczyciel został przypisany do szkoły albo do kilku szkół (dotyczy tych, którzy prowadzą zajęcia w więcej niż jednej szkole). </w:t>
      </w:r>
    </w:p>
    <w:p w:rsidR="00611DC2" w:rsidRPr="00611DC2" w:rsidRDefault="00611DC2" w:rsidP="00611DC2">
      <w:pPr>
        <w:spacing w:after="160" w:line="259" w:lineRule="auto"/>
        <w:jc w:val="both"/>
        <w:rPr>
          <w:rFonts w:ascii="Garamond" w:eastAsia="Calibri" w:hAnsi="Garamond" w:cs="Times New Roman"/>
          <w:lang w:eastAsia="en-US"/>
        </w:rPr>
      </w:pPr>
      <w:r w:rsidRPr="00611DC2">
        <w:rPr>
          <w:rFonts w:ascii="Garamond" w:eastAsia="Calibri" w:hAnsi="Garamond" w:cs="Times New Roman"/>
          <w:lang w:eastAsia="en-US"/>
        </w:rPr>
        <w:t xml:space="preserve">Do każdej szkoły </w:t>
      </w:r>
      <w:r w:rsidR="00122FD4">
        <w:rPr>
          <w:rFonts w:ascii="Garamond" w:eastAsia="Calibri" w:hAnsi="Garamond" w:cs="Times New Roman"/>
          <w:lang w:eastAsia="en-US"/>
        </w:rPr>
        <w:t xml:space="preserve">przypisano </w:t>
      </w:r>
      <w:r w:rsidRPr="00611DC2">
        <w:rPr>
          <w:rFonts w:ascii="Garamond" w:eastAsia="Calibri" w:hAnsi="Garamond" w:cs="Times New Roman"/>
          <w:lang w:eastAsia="en-US"/>
        </w:rPr>
        <w:t xml:space="preserve">też informacje na temat oddziałów </w:t>
      </w:r>
      <w:r w:rsidR="00122FD4">
        <w:rPr>
          <w:rFonts w:ascii="Garamond" w:eastAsia="Calibri" w:hAnsi="Garamond" w:cs="Times New Roman"/>
          <w:lang w:eastAsia="en-US"/>
        </w:rPr>
        <w:t xml:space="preserve">istniejących </w:t>
      </w:r>
      <w:r w:rsidRPr="00611DC2">
        <w:rPr>
          <w:rFonts w:ascii="Garamond" w:eastAsia="Calibri" w:hAnsi="Garamond" w:cs="Times New Roman"/>
          <w:lang w:eastAsia="en-US"/>
        </w:rPr>
        <w:t xml:space="preserve">w </w:t>
      </w:r>
      <w:r w:rsidR="00122FD4">
        <w:rPr>
          <w:rFonts w:ascii="Garamond" w:eastAsia="Calibri" w:hAnsi="Garamond" w:cs="Times New Roman"/>
          <w:lang w:eastAsia="en-US"/>
        </w:rPr>
        <w:t xml:space="preserve">danej </w:t>
      </w:r>
      <w:r w:rsidRPr="00611DC2">
        <w:rPr>
          <w:rFonts w:ascii="Garamond" w:eastAsia="Calibri" w:hAnsi="Garamond" w:cs="Times New Roman"/>
          <w:lang w:eastAsia="en-US"/>
        </w:rPr>
        <w:t xml:space="preserve">szkole. Uczniowie zostali przypisani bezpośrednio do danych oddziałów, tak aby odwzorować istniejące podziały na klasy. W ten sposób każdy nauczyciel miał dostęp do </w:t>
      </w:r>
      <w:r w:rsidR="00122FD4">
        <w:rPr>
          <w:rFonts w:ascii="Garamond" w:eastAsia="Calibri" w:hAnsi="Garamond" w:cs="Times New Roman"/>
          <w:lang w:eastAsia="en-US"/>
        </w:rPr>
        <w:t xml:space="preserve">klas, </w:t>
      </w:r>
      <w:r w:rsidRPr="00611DC2">
        <w:rPr>
          <w:rFonts w:ascii="Garamond" w:eastAsia="Calibri" w:hAnsi="Garamond" w:cs="Times New Roman"/>
          <w:lang w:eastAsia="en-US"/>
        </w:rPr>
        <w:t>w których uczy.</w:t>
      </w:r>
    </w:p>
    <w:p w:rsidR="00611DC2" w:rsidRPr="00611DC2" w:rsidRDefault="00611DC2" w:rsidP="00611DC2">
      <w:pPr>
        <w:spacing w:after="160" w:line="259" w:lineRule="auto"/>
        <w:jc w:val="both"/>
        <w:rPr>
          <w:rFonts w:ascii="Garamond" w:eastAsia="Calibri" w:hAnsi="Garamond" w:cs="Times New Roman"/>
          <w:lang w:eastAsia="en-US"/>
        </w:rPr>
      </w:pPr>
      <w:r w:rsidRPr="00611DC2">
        <w:rPr>
          <w:rFonts w:ascii="Garamond" w:eastAsia="Calibri" w:hAnsi="Garamond" w:cs="Times New Roman"/>
          <w:lang w:eastAsia="en-US"/>
        </w:rPr>
        <w:t xml:space="preserve">Na platformie znajduje się obecnie ponad 15 tys. materiałów, w tym ok. 8 500 interaktywnych </w:t>
      </w:r>
      <w:r w:rsidRPr="00611DC2">
        <w:rPr>
          <w:rFonts w:ascii="Garamond" w:eastAsia="Calibri" w:hAnsi="Garamond" w:cs="Times New Roman"/>
          <w:lang w:eastAsia="en-US"/>
        </w:rPr>
        <w:br/>
        <w:t>e-materiałów, ponad 3 200 scenariuszy lekcji oraz 107 programów nauczania. Od 1 września opublikowaliśmy 280 nowych e-materiałów.</w:t>
      </w:r>
    </w:p>
    <w:p w:rsidR="00611DC2" w:rsidRPr="00611DC2" w:rsidRDefault="00611DC2" w:rsidP="00611DC2">
      <w:pPr>
        <w:spacing w:after="160" w:line="259" w:lineRule="auto"/>
        <w:jc w:val="both"/>
        <w:rPr>
          <w:rFonts w:ascii="Garamond" w:eastAsia="Calibri" w:hAnsi="Garamond" w:cs="Times New Roman"/>
          <w:lang w:eastAsia="en-US"/>
        </w:rPr>
      </w:pPr>
      <w:r w:rsidRPr="00611DC2">
        <w:rPr>
          <w:rFonts w:ascii="Garamond" w:eastAsia="Calibri" w:hAnsi="Garamond" w:cs="Times New Roman"/>
          <w:lang w:eastAsia="en-US"/>
        </w:rPr>
        <w:lastRenderedPageBreak/>
        <w:t xml:space="preserve">Zintegrowana Platforma Edukacyjna to nie tylko bezpłatne e-materiały, ale kompletne narzędzie umożliwiające prowadzenie zdalnej nauki, które cały czas się rozwija – zgodnie z potrzebami uczniów i nauczycieli. Konto na ZPE ma ponad 6,3 mln użytkowników. </w:t>
      </w:r>
    </w:p>
    <w:p w:rsidR="00122FD4" w:rsidRDefault="00611DC2" w:rsidP="00611DC2">
      <w:pPr>
        <w:spacing w:after="160" w:line="259" w:lineRule="auto"/>
        <w:jc w:val="both"/>
        <w:rPr>
          <w:rFonts w:ascii="Garamond" w:eastAsia="Calibri" w:hAnsi="Garamond" w:cs="Times New Roman"/>
          <w:lang w:eastAsia="en-US"/>
        </w:rPr>
      </w:pPr>
      <w:r w:rsidRPr="00611DC2">
        <w:rPr>
          <w:rFonts w:ascii="Garamond" w:eastAsia="Calibri" w:hAnsi="Garamond" w:cs="Times New Roman"/>
          <w:lang w:eastAsia="en-US"/>
        </w:rPr>
        <w:t xml:space="preserve">W odpowiedzi na potrzeby szkół w trakcie pandemii na platformie www.epodreczniki.pl systematycznie uruchamiamy dodatkowe funkcjonalności. </w:t>
      </w:r>
    </w:p>
    <w:p w:rsidR="00611DC2" w:rsidRPr="00611DC2" w:rsidRDefault="00611DC2" w:rsidP="00611DC2">
      <w:pPr>
        <w:spacing w:after="160" w:line="259" w:lineRule="auto"/>
        <w:jc w:val="both"/>
        <w:rPr>
          <w:rFonts w:ascii="Garamond" w:eastAsia="Calibri" w:hAnsi="Garamond" w:cs="Times New Roman"/>
          <w:lang w:eastAsia="en-US"/>
        </w:rPr>
      </w:pPr>
      <w:r w:rsidRPr="00611DC2">
        <w:rPr>
          <w:rFonts w:ascii="Garamond" w:eastAsia="Calibri" w:hAnsi="Garamond" w:cs="Times New Roman"/>
          <w:lang w:eastAsia="en-US"/>
        </w:rPr>
        <w:t>Od 26 sierpnia br. zalogowani nauczyciele i uczniowie mają możliwość spotkań on-line z wykorzystaniem zewnętrznych narzędzi do wideokonferencji</w:t>
      </w:r>
      <w:r w:rsidR="00122FD4">
        <w:rPr>
          <w:rFonts w:ascii="Garamond" w:eastAsia="Calibri" w:hAnsi="Garamond" w:cs="Times New Roman"/>
          <w:lang w:eastAsia="en-US"/>
        </w:rPr>
        <w:t>. O</w:t>
      </w:r>
      <w:r w:rsidRPr="00611DC2">
        <w:rPr>
          <w:rFonts w:ascii="Garamond" w:eastAsia="Calibri" w:hAnsi="Garamond" w:cs="Times New Roman"/>
          <w:lang w:eastAsia="en-US"/>
        </w:rPr>
        <w:t xml:space="preserve">d 22 września br. nauczyciele mają </w:t>
      </w:r>
      <w:r w:rsidR="00122FD4">
        <w:rPr>
          <w:rFonts w:ascii="Garamond" w:eastAsia="Calibri" w:hAnsi="Garamond" w:cs="Times New Roman"/>
          <w:lang w:eastAsia="en-US"/>
        </w:rPr>
        <w:t xml:space="preserve">także </w:t>
      </w:r>
      <w:r w:rsidRPr="00611DC2">
        <w:rPr>
          <w:rFonts w:ascii="Garamond" w:eastAsia="Calibri" w:hAnsi="Garamond" w:cs="Times New Roman"/>
          <w:lang w:eastAsia="en-US"/>
        </w:rPr>
        <w:t xml:space="preserve">dodatkową możliwość tworzenia z materiałów na Zintegrowanej Platformie Edukacyjnej ścieżek nauki, dzięki którym mogą ułożyć plan kształcenia. </w:t>
      </w:r>
    </w:p>
    <w:p w:rsidR="00611DC2" w:rsidRPr="00611DC2" w:rsidRDefault="00611DC2" w:rsidP="00611DC2">
      <w:pPr>
        <w:spacing w:after="160" w:line="259" w:lineRule="auto"/>
        <w:jc w:val="both"/>
        <w:rPr>
          <w:rFonts w:ascii="Garamond" w:eastAsia="Calibri" w:hAnsi="Garamond" w:cs="Times New Roman"/>
          <w:lang w:eastAsia="en-US"/>
        </w:rPr>
      </w:pPr>
      <w:r w:rsidRPr="00611DC2">
        <w:rPr>
          <w:rFonts w:ascii="Garamond" w:eastAsia="Calibri" w:hAnsi="Garamond" w:cs="Times New Roman"/>
          <w:lang w:eastAsia="en-US"/>
        </w:rPr>
        <w:t xml:space="preserve">Od 1 marca do początku sierpnia br. liczba odsłon platformy to łącznie ponad 120 mln. Liczba odsłon w okresie marzec-czerwiec wynosiła średnio ok. 1 mln odsłon dziennie.  </w:t>
      </w:r>
    </w:p>
    <w:p w:rsidR="00611DC2" w:rsidRPr="00611DC2" w:rsidRDefault="00611DC2" w:rsidP="00611DC2">
      <w:pPr>
        <w:spacing w:after="160" w:line="259" w:lineRule="auto"/>
        <w:jc w:val="both"/>
        <w:rPr>
          <w:rFonts w:ascii="Garamond" w:eastAsia="Calibri" w:hAnsi="Garamond" w:cs="Times New Roman"/>
          <w:b/>
          <w:lang w:eastAsia="en-US"/>
        </w:rPr>
      </w:pPr>
      <w:r w:rsidRPr="00611DC2">
        <w:rPr>
          <w:rFonts w:ascii="Garamond" w:eastAsia="Calibri" w:hAnsi="Garamond" w:cs="Times New Roman"/>
          <w:b/>
          <w:lang w:eastAsia="en-US"/>
        </w:rPr>
        <w:t>Wsparcie w kształceniu na odległość</w:t>
      </w:r>
    </w:p>
    <w:p w:rsidR="00B466A8" w:rsidRDefault="00611DC2" w:rsidP="00611DC2">
      <w:pPr>
        <w:spacing w:after="160" w:line="259" w:lineRule="auto"/>
        <w:jc w:val="both"/>
        <w:rPr>
          <w:rFonts w:ascii="Garamond" w:eastAsia="Calibri" w:hAnsi="Garamond" w:cs="Times New Roman"/>
          <w:lang w:eastAsia="en-US"/>
        </w:rPr>
      </w:pPr>
      <w:r w:rsidRPr="00611DC2">
        <w:rPr>
          <w:rFonts w:ascii="Garamond" w:eastAsia="Calibri" w:hAnsi="Garamond" w:cs="Times New Roman"/>
          <w:lang w:eastAsia="en-US"/>
        </w:rPr>
        <w:t xml:space="preserve">Już od kwietnia </w:t>
      </w:r>
      <w:r w:rsidR="00B466A8">
        <w:rPr>
          <w:rFonts w:ascii="Garamond" w:eastAsia="Calibri" w:hAnsi="Garamond" w:cs="Times New Roman"/>
          <w:lang w:eastAsia="en-US"/>
        </w:rPr>
        <w:t xml:space="preserve">br. </w:t>
      </w:r>
      <w:r w:rsidRPr="00611DC2">
        <w:rPr>
          <w:rFonts w:ascii="Garamond" w:eastAsia="Calibri" w:hAnsi="Garamond" w:cs="Times New Roman"/>
          <w:lang w:eastAsia="en-US"/>
        </w:rPr>
        <w:t xml:space="preserve">samorządy mogły wnioskować o środki na zakup sprzętu do zdalnej nauki zarówno dla uczniów, jak i nauczycieli. </w:t>
      </w:r>
    </w:p>
    <w:p w:rsidR="00611DC2" w:rsidRPr="00611DC2" w:rsidRDefault="00611DC2" w:rsidP="00611DC2">
      <w:pPr>
        <w:spacing w:after="160" w:line="259" w:lineRule="auto"/>
        <w:jc w:val="both"/>
        <w:rPr>
          <w:rFonts w:ascii="Garamond" w:eastAsia="Calibri" w:hAnsi="Garamond" w:cs="Times New Roman"/>
          <w:lang w:eastAsia="en-US"/>
        </w:rPr>
      </w:pPr>
      <w:r w:rsidRPr="00611DC2">
        <w:rPr>
          <w:rFonts w:ascii="Garamond" w:eastAsia="Calibri" w:hAnsi="Garamond" w:cs="Times New Roman"/>
          <w:lang w:eastAsia="en-US"/>
        </w:rPr>
        <w:t xml:space="preserve">W ramach projektu „Zdalna Szkoła” wsparcie rządu w wysokości ponad 187 mln zł otrzymało 2 790 samorządów (z 2 790 uprawnionych podmiotów). W maju br. uruchomiona została druga edycja projektu „Zdalna szkoła+”. Na ten cel przeznaczono 186 mln zł. Wówczas wsparcie uzyskało 2 465 samorządów (z 2447 uprawnionych) na kwotę 170 mln zł. </w:t>
      </w:r>
    </w:p>
    <w:p w:rsidR="00611DC2" w:rsidRDefault="00611DC2" w:rsidP="00611DC2">
      <w:pPr>
        <w:spacing w:after="160" w:line="259" w:lineRule="auto"/>
        <w:jc w:val="both"/>
        <w:rPr>
          <w:rFonts w:ascii="Garamond" w:eastAsia="Calibri" w:hAnsi="Garamond" w:cs="Times New Roman"/>
          <w:lang w:eastAsia="en-US"/>
        </w:rPr>
      </w:pPr>
      <w:r w:rsidRPr="00611DC2">
        <w:rPr>
          <w:rFonts w:ascii="Garamond" w:eastAsia="Calibri" w:hAnsi="Garamond" w:cs="Times New Roman"/>
          <w:lang w:eastAsia="en-US"/>
        </w:rPr>
        <w:t>Warto przypomnieć, że w ramach programu „Zdalna szkoła+” samorządy mogą sfinansować zakup: komputerów, laptopów, ale także oprogramowania, ubezpieczenia sprzętu, mobilnego dostępu do internetu.</w:t>
      </w:r>
    </w:p>
    <w:p w:rsidR="00826ADF" w:rsidRPr="00826ADF" w:rsidRDefault="00826ADF" w:rsidP="00611DC2">
      <w:pPr>
        <w:spacing w:after="160" w:line="259" w:lineRule="auto"/>
        <w:jc w:val="both"/>
        <w:rPr>
          <w:rFonts w:ascii="Garamond" w:eastAsia="Calibri" w:hAnsi="Garamond" w:cs="Times New Roman"/>
          <w:b/>
          <w:lang w:eastAsia="en-US"/>
        </w:rPr>
      </w:pPr>
      <w:r w:rsidRPr="00826ADF">
        <w:rPr>
          <w:rFonts w:ascii="Garamond" w:eastAsia="Calibri" w:hAnsi="Garamond" w:cs="Times New Roman"/>
          <w:b/>
          <w:lang w:eastAsia="en-US"/>
        </w:rPr>
        <w:t>Kolejna edycja programu „Aktywna tablica”</w:t>
      </w:r>
    </w:p>
    <w:p w:rsidR="00A37E65" w:rsidRDefault="00611DC2" w:rsidP="00611DC2">
      <w:pPr>
        <w:spacing w:after="160" w:line="259" w:lineRule="auto"/>
        <w:jc w:val="both"/>
        <w:rPr>
          <w:rFonts w:ascii="Garamond" w:eastAsia="Calibri" w:hAnsi="Garamond" w:cs="Times New Roman"/>
          <w:lang w:eastAsia="en-US"/>
        </w:rPr>
      </w:pPr>
      <w:r w:rsidRPr="00611DC2">
        <w:rPr>
          <w:rFonts w:ascii="Garamond" w:eastAsia="Calibri" w:hAnsi="Garamond" w:cs="Times New Roman"/>
          <w:lang w:eastAsia="en-US"/>
        </w:rPr>
        <w:t xml:space="preserve">Ruszyła kolejna edycja </w:t>
      </w:r>
      <w:r w:rsidR="00826ADF">
        <w:rPr>
          <w:rFonts w:ascii="Garamond" w:eastAsia="Calibri" w:hAnsi="Garamond" w:cs="Times New Roman"/>
          <w:lang w:eastAsia="en-US"/>
        </w:rPr>
        <w:t xml:space="preserve">rządowego </w:t>
      </w:r>
      <w:r w:rsidRPr="00611DC2">
        <w:rPr>
          <w:rFonts w:ascii="Garamond" w:eastAsia="Calibri" w:hAnsi="Garamond" w:cs="Times New Roman"/>
          <w:lang w:eastAsia="en-US"/>
        </w:rPr>
        <w:t xml:space="preserve">programu „Aktywna tablica”, która będzie realizowana w latach 2020-2024. Szkoły jeszcze w tym roku </w:t>
      </w:r>
      <w:r w:rsidR="00B466A8">
        <w:rPr>
          <w:rFonts w:ascii="Garamond" w:eastAsia="Calibri" w:hAnsi="Garamond" w:cs="Times New Roman"/>
          <w:lang w:eastAsia="en-US"/>
        </w:rPr>
        <w:t xml:space="preserve">mogą </w:t>
      </w:r>
      <w:r w:rsidRPr="00611DC2">
        <w:rPr>
          <w:rFonts w:ascii="Garamond" w:eastAsia="Calibri" w:hAnsi="Garamond" w:cs="Times New Roman"/>
          <w:lang w:eastAsia="en-US"/>
        </w:rPr>
        <w:t xml:space="preserve">wnioskować o udzielenie wsparcia finansowego na zakup laptopów wraz ze sprzętem umożliwiającym przetwarzanie wizerunku i głosu udostępnianego przez ucznia lub nauczyciela w czasie rzeczywistym za pośrednictwem transmisji audiowizualnej. Na ten cel mamy 361 455 000 zł, z czego w tym roku do wykorzystania będzie 35 mln zł. </w:t>
      </w:r>
    </w:p>
    <w:p w:rsidR="00611DC2" w:rsidRPr="00611DC2" w:rsidRDefault="00611DC2" w:rsidP="00611DC2">
      <w:pPr>
        <w:spacing w:after="160" w:line="259" w:lineRule="auto"/>
        <w:jc w:val="both"/>
        <w:rPr>
          <w:rFonts w:ascii="Garamond" w:eastAsia="Calibri" w:hAnsi="Garamond" w:cs="Times New Roman"/>
          <w:lang w:eastAsia="en-US"/>
        </w:rPr>
      </w:pPr>
      <w:r w:rsidRPr="00611DC2">
        <w:rPr>
          <w:rFonts w:ascii="Garamond" w:eastAsia="Calibri" w:hAnsi="Garamond" w:cs="Times New Roman"/>
          <w:lang w:eastAsia="en-US"/>
        </w:rPr>
        <w:t>Program będzie finansowany w 80 proc. ze środków budżetu państwa i w 20 proc. z wkładu własnego organów prowadzących szkołę, z wyjątkiem przekazania wsparcia na zakup inwestycyjny – wówczas wkład własny wzrośnie do 50 proc.</w:t>
      </w:r>
    </w:p>
    <w:p w:rsidR="00611DC2" w:rsidRPr="00611DC2" w:rsidRDefault="00611DC2" w:rsidP="00611DC2">
      <w:pPr>
        <w:spacing w:after="160" w:line="259" w:lineRule="auto"/>
        <w:jc w:val="both"/>
        <w:rPr>
          <w:rFonts w:ascii="Garamond" w:eastAsia="Calibri" w:hAnsi="Garamond" w:cs="Times New Roman"/>
          <w:lang w:eastAsia="en-US"/>
        </w:rPr>
      </w:pPr>
      <w:r w:rsidRPr="00611DC2">
        <w:rPr>
          <w:rFonts w:ascii="Garamond" w:eastAsia="Calibri" w:hAnsi="Garamond" w:cs="Times New Roman"/>
          <w:lang w:eastAsia="en-US"/>
        </w:rPr>
        <w:t xml:space="preserve">W kolejnych latach program </w:t>
      </w:r>
      <w:r w:rsidR="00A37E65">
        <w:rPr>
          <w:rFonts w:ascii="Garamond" w:eastAsia="Calibri" w:hAnsi="Garamond" w:cs="Times New Roman"/>
          <w:lang w:eastAsia="en-US"/>
        </w:rPr>
        <w:t xml:space="preserve">skoncentrowany będzie na </w:t>
      </w:r>
      <w:r w:rsidRPr="00611DC2">
        <w:rPr>
          <w:rFonts w:ascii="Garamond" w:eastAsia="Calibri" w:hAnsi="Garamond" w:cs="Times New Roman"/>
          <w:lang w:eastAsia="en-US"/>
        </w:rPr>
        <w:t>wspieraniu placówek, które realizującą kształcenie uczniów ze specjalnymi potrzebami edukacyjnymi. Placówki te będą mogły być doposażanie w sprzęt, pomoce dydaktyczne oraz narzędzia do terapii. Program będzie też nadal uwzględniał sytuację, w której nauczanie i uczenie się jest prowadzone w ramach kształcenia na odległość (zakup tablic interaktywnych, projektorów i monitorów dotykowych).</w:t>
      </w:r>
    </w:p>
    <w:p w:rsidR="00611DC2" w:rsidRPr="00611DC2" w:rsidRDefault="00611DC2" w:rsidP="00611DC2">
      <w:pPr>
        <w:spacing w:after="160" w:line="259" w:lineRule="auto"/>
        <w:jc w:val="both"/>
        <w:rPr>
          <w:rFonts w:ascii="Garamond" w:eastAsia="Calibri" w:hAnsi="Garamond" w:cs="Times New Roman"/>
          <w:lang w:eastAsia="en-US"/>
        </w:rPr>
      </w:pPr>
      <w:r w:rsidRPr="00611DC2">
        <w:rPr>
          <w:rFonts w:ascii="Garamond" w:eastAsia="Calibri" w:hAnsi="Garamond" w:cs="Times New Roman"/>
          <w:lang w:eastAsia="en-US"/>
        </w:rPr>
        <w:lastRenderedPageBreak/>
        <w:t xml:space="preserve">Dodatkowo przekazaliśmy 520 wybranym szkołom 13 tys. tabletów z dostępem do internetu. To sprzęt pochodzący z puli 40 tys. komputerów, które wspólnie z NASK przekażemy 1 600 szkołom działającym w programie OSE. </w:t>
      </w:r>
    </w:p>
    <w:p w:rsidR="00611DC2" w:rsidRPr="00611DC2" w:rsidRDefault="00611DC2" w:rsidP="00611DC2">
      <w:pPr>
        <w:spacing w:after="160" w:line="259" w:lineRule="auto"/>
        <w:jc w:val="both"/>
        <w:rPr>
          <w:rFonts w:ascii="Garamond" w:eastAsia="Calibri" w:hAnsi="Garamond" w:cs="Times New Roman"/>
          <w:lang w:eastAsia="en-US"/>
        </w:rPr>
      </w:pPr>
      <w:r w:rsidRPr="00611DC2">
        <w:rPr>
          <w:rFonts w:ascii="Garamond" w:eastAsia="Calibri" w:hAnsi="Garamond" w:cs="Times New Roman"/>
          <w:lang w:eastAsia="en-US"/>
        </w:rPr>
        <w:t>Szkolne Pakiety Multimedialne to jedno z wielu działań rządu, którego celem jest doposażenie szkół w sprzęt komputerowy. Taki szkolny pakiet NASK składa się z 25 tabletów wraz z etui, klawiaturą, rysikiem i usługą mobilnego dostępu do sieci internetu świadczoną do końca roku szkolnego 2020/2021.</w:t>
      </w:r>
    </w:p>
    <w:p w:rsidR="00611DC2" w:rsidRPr="00611DC2" w:rsidRDefault="00611DC2" w:rsidP="00611DC2">
      <w:pPr>
        <w:spacing w:after="160" w:line="259" w:lineRule="auto"/>
        <w:jc w:val="both"/>
        <w:rPr>
          <w:rFonts w:ascii="Garamond" w:eastAsia="Calibri" w:hAnsi="Garamond" w:cs="Times New Roman"/>
          <w:lang w:eastAsia="en-US"/>
        </w:rPr>
      </w:pPr>
      <w:r w:rsidRPr="00611DC2">
        <w:rPr>
          <w:rFonts w:ascii="Garamond" w:eastAsia="Calibri" w:hAnsi="Garamond" w:cs="Times New Roman"/>
          <w:lang w:eastAsia="en-US"/>
        </w:rPr>
        <w:t>W poprzednim roku szkolnym w ramach konkursu #OSEWyzwanie do 764 szkół z miejscowości liczących do 50 tys. mieszkańców trafiły mobilne pracownie komputerowe. W sumie szkołom przekazano 12 224 laptopy, które są wsparciem w prowadzeniu lekcji i korzystaniu z internetowych zasobów edukacyjnych. Wartość pojedynczego zestawu (jednej pracowni) to 34 439 zł.</w:t>
      </w:r>
    </w:p>
    <w:p w:rsidR="00611DC2" w:rsidRPr="00611DC2" w:rsidRDefault="00611DC2" w:rsidP="00611DC2">
      <w:pPr>
        <w:spacing w:after="160" w:line="259" w:lineRule="auto"/>
        <w:jc w:val="both"/>
        <w:rPr>
          <w:rFonts w:ascii="Garamond" w:eastAsia="Calibri" w:hAnsi="Garamond" w:cs="Times New Roman"/>
          <w:lang w:eastAsia="en-US"/>
        </w:rPr>
      </w:pPr>
      <w:r w:rsidRPr="00611DC2">
        <w:rPr>
          <w:rFonts w:ascii="Garamond" w:eastAsia="Calibri" w:hAnsi="Garamond" w:cs="Times New Roman"/>
          <w:lang w:eastAsia="en-US"/>
        </w:rPr>
        <w:t>W ramach kolejnego działania rząd przeznaczył 130 mln zł na zakup m.in. komputerów dla dzieci, które przebywają w pieczy zastępczej. Pomoc ta jest skierowana zarówno do dzieci z domów dziecka, jak i innych placówek rodzinnych. W całej Polsce w pieczy zastępczej umieszczonych jest ponad 72,5 tys. dzieci, w tym ponad 16,7 tys. w placówkach oraz ponad 55,5 tys. dzieci w pieczy o charakterze rodzinnym. Zadanie jest finansowane w ramach Programu Operacyjnego Wiedza Edukacja Rozwój (na lata 2014-2020) współfinansowanego z Europejskiego Funduszu Społecznego.</w:t>
      </w:r>
    </w:p>
    <w:p w:rsidR="00611DC2" w:rsidRPr="00611DC2" w:rsidRDefault="00611DC2" w:rsidP="00611DC2">
      <w:pPr>
        <w:spacing w:after="160" w:line="259" w:lineRule="auto"/>
        <w:jc w:val="both"/>
        <w:rPr>
          <w:rFonts w:ascii="Garamond" w:eastAsia="Calibri" w:hAnsi="Garamond" w:cs="Times New Roman"/>
          <w:b/>
          <w:lang w:eastAsia="en-US"/>
        </w:rPr>
      </w:pPr>
      <w:r w:rsidRPr="00611DC2">
        <w:rPr>
          <w:rFonts w:ascii="Garamond" w:eastAsia="Calibri" w:hAnsi="Garamond" w:cs="Times New Roman"/>
          <w:b/>
          <w:lang w:eastAsia="en-US"/>
        </w:rPr>
        <w:t>www.gov.pl/zdalnelekcje</w:t>
      </w:r>
    </w:p>
    <w:p w:rsidR="00611DC2" w:rsidRPr="00611DC2" w:rsidRDefault="00611DC2" w:rsidP="00611DC2">
      <w:pPr>
        <w:spacing w:after="160" w:line="259" w:lineRule="auto"/>
        <w:jc w:val="both"/>
        <w:rPr>
          <w:rFonts w:ascii="Garamond" w:eastAsia="Calibri" w:hAnsi="Garamond" w:cs="Times New Roman"/>
          <w:lang w:eastAsia="en-US"/>
        </w:rPr>
      </w:pPr>
      <w:r w:rsidRPr="00611DC2">
        <w:rPr>
          <w:rFonts w:ascii="Garamond" w:eastAsia="Calibri" w:hAnsi="Garamond" w:cs="Times New Roman"/>
          <w:lang w:eastAsia="en-US"/>
        </w:rPr>
        <w:t xml:space="preserve">Nauczyciele i uczniowie podczas kształcenia na odległość mogą korzystać z portalu </w:t>
      </w:r>
      <w:r w:rsidR="00EA499D" w:rsidRPr="00EA499D">
        <w:rPr>
          <w:rFonts w:ascii="Garamond" w:eastAsia="Calibri" w:hAnsi="Garamond" w:cs="Times New Roman"/>
          <w:b/>
          <w:lang w:eastAsia="en-US"/>
        </w:rPr>
        <w:t>gov.pl/zdalnelekcje</w:t>
      </w:r>
      <w:r w:rsidRPr="00EA499D">
        <w:rPr>
          <w:rFonts w:ascii="Garamond" w:eastAsia="Calibri" w:hAnsi="Garamond" w:cs="Times New Roman"/>
          <w:b/>
          <w:lang w:eastAsia="en-US"/>
        </w:rPr>
        <w:t>.</w:t>
      </w:r>
      <w:r w:rsidRPr="00611DC2">
        <w:rPr>
          <w:rFonts w:ascii="Garamond" w:eastAsia="Calibri" w:hAnsi="Garamond" w:cs="Times New Roman"/>
          <w:lang w:eastAsia="en-US"/>
        </w:rPr>
        <w:t xml:space="preserve"> Serwis został uruchomiony na wiosnę, tuż po czasowym zawieszeniu zajęć w szkołach ze względu na epidemię COVID-19. </w:t>
      </w:r>
    </w:p>
    <w:p w:rsidR="00611DC2" w:rsidRPr="00611DC2" w:rsidRDefault="00611DC2" w:rsidP="00611DC2">
      <w:pPr>
        <w:spacing w:after="160" w:line="259" w:lineRule="auto"/>
        <w:jc w:val="both"/>
        <w:rPr>
          <w:rFonts w:ascii="Garamond" w:eastAsia="Calibri" w:hAnsi="Garamond" w:cs="Times New Roman"/>
          <w:lang w:eastAsia="en-US"/>
        </w:rPr>
      </w:pPr>
      <w:r w:rsidRPr="00611DC2">
        <w:rPr>
          <w:rFonts w:ascii="Garamond" w:eastAsia="Calibri" w:hAnsi="Garamond" w:cs="Times New Roman"/>
          <w:lang w:eastAsia="en-US"/>
        </w:rPr>
        <w:t>Dzięki materiałom zamieszczonym w serwisie gov.pl/zdalnelekcje nauczyciele otrzymują pomoc dydaktyczną i merytoryczną stanowiącą inspirację, jak również wsparcie w bieżącej pracy. Uczniowie zaś mają dostęp do interesujących i pomocnych zasobów edukacyjnych, dzięki którym rozwijają umiejętność samokształcenia.</w:t>
      </w:r>
    </w:p>
    <w:p w:rsidR="00611DC2" w:rsidRPr="00611DC2" w:rsidRDefault="00611DC2" w:rsidP="00611DC2">
      <w:pPr>
        <w:spacing w:after="160" w:line="259" w:lineRule="auto"/>
        <w:jc w:val="both"/>
        <w:rPr>
          <w:rFonts w:ascii="Garamond" w:eastAsia="Calibri" w:hAnsi="Garamond" w:cs="Times New Roman"/>
          <w:lang w:eastAsia="en-US"/>
        </w:rPr>
      </w:pPr>
      <w:r w:rsidRPr="00611DC2">
        <w:rPr>
          <w:rFonts w:ascii="Garamond" w:eastAsia="Calibri" w:hAnsi="Garamond" w:cs="Times New Roman"/>
          <w:lang w:eastAsia="en-US"/>
        </w:rPr>
        <w:t>„Zdalne Lekcje” to już ponad 2 500 lekcji</w:t>
      </w:r>
      <w:r w:rsidR="00EA499D">
        <w:rPr>
          <w:rFonts w:ascii="Garamond" w:eastAsia="Calibri" w:hAnsi="Garamond" w:cs="Times New Roman"/>
          <w:lang w:eastAsia="en-US"/>
        </w:rPr>
        <w:t xml:space="preserve"> on-line</w:t>
      </w:r>
      <w:r w:rsidRPr="00611DC2">
        <w:rPr>
          <w:rFonts w:ascii="Garamond" w:eastAsia="Calibri" w:hAnsi="Garamond" w:cs="Times New Roman"/>
          <w:lang w:eastAsia="en-US"/>
        </w:rPr>
        <w:t xml:space="preserve"> i </w:t>
      </w:r>
      <w:r w:rsidR="00EA499D">
        <w:rPr>
          <w:rFonts w:ascii="Garamond" w:eastAsia="Calibri" w:hAnsi="Garamond" w:cs="Times New Roman"/>
          <w:lang w:eastAsia="en-US"/>
        </w:rPr>
        <w:t>blisko</w:t>
      </w:r>
      <w:r w:rsidRPr="00611DC2">
        <w:rPr>
          <w:rFonts w:ascii="Garamond" w:eastAsia="Calibri" w:hAnsi="Garamond" w:cs="Times New Roman"/>
          <w:lang w:eastAsia="en-US"/>
        </w:rPr>
        <w:t xml:space="preserve"> 10 000 odnośników do cyfrowych zasobów. Sukcesywnie są tam zamieszczane nowe propozycje materiałów dydaktycznych, z których nauczyciele mogą korzystać podczas zajęć z uczniami szkół podstawowych i ponadpodstawowych. </w:t>
      </w:r>
    </w:p>
    <w:p w:rsidR="00611DC2" w:rsidRPr="00611DC2" w:rsidRDefault="00611DC2" w:rsidP="00611DC2">
      <w:pPr>
        <w:spacing w:after="160" w:line="259" w:lineRule="auto"/>
        <w:jc w:val="both"/>
        <w:rPr>
          <w:rFonts w:ascii="Garamond" w:eastAsia="Calibri" w:hAnsi="Garamond" w:cs="Times New Roman"/>
          <w:lang w:eastAsia="en-US"/>
        </w:rPr>
      </w:pPr>
      <w:r w:rsidRPr="00611DC2">
        <w:rPr>
          <w:rFonts w:ascii="Garamond" w:eastAsia="Calibri" w:hAnsi="Garamond" w:cs="Times New Roman"/>
          <w:lang w:eastAsia="en-US"/>
        </w:rPr>
        <w:t xml:space="preserve">Materiały powstają we współpracy z ekspertami, nauczycielami oraz metodykami z jednostek podległych Ministerstwu Edukacji Narodowej i KPRM. </w:t>
      </w:r>
    </w:p>
    <w:p w:rsidR="00611DC2" w:rsidRPr="00611DC2" w:rsidRDefault="00611DC2" w:rsidP="00611DC2">
      <w:pPr>
        <w:spacing w:after="160" w:line="259" w:lineRule="auto"/>
        <w:jc w:val="both"/>
        <w:rPr>
          <w:rFonts w:ascii="Garamond" w:eastAsia="Calibri" w:hAnsi="Garamond" w:cs="Times New Roman"/>
          <w:b/>
          <w:lang w:eastAsia="en-US"/>
        </w:rPr>
      </w:pPr>
      <w:r w:rsidRPr="00611DC2">
        <w:rPr>
          <w:rFonts w:ascii="Garamond" w:eastAsia="Calibri" w:hAnsi="Garamond" w:cs="Times New Roman"/>
          <w:b/>
          <w:lang w:eastAsia="en-US"/>
        </w:rPr>
        <w:t>Szybki internet w szkołach – Ogólnopolska Sieć Edukacyjna (OSE)</w:t>
      </w:r>
    </w:p>
    <w:p w:rsidR="00611DC2" w:rsidRPr="00611DC2" w:rsidRDefault="00611DC2" w:rsidP="00611DC2">
      <w:pPr>
        <w:spacing w:after="160" w:line="259" w:lineRule="auto"/>
        <w:jc w:val="both"/>
        <w:rPr>
          <w:rFonts w:ascii="Garamond" w:eastAsia="Calibri" w:hAnsi="Garamond" w:cs="Times New Roman"/>
          <w:lang w:eastAsia="en-US"/>
        </w:rPr>
      </w:pPr>
      <w:r w:rsidRPr="00611DC2">
        <w:rPr>
          <w:rFonts w:ascii="Garamond" w:eastAsia="Calibri" w:hAnsi="Garamond" w:cs="Times New Roman"/>
          <w:lang w:eastAsia="en-US"/>
        </w:rPr>
        <w:t xml:space="preserve">Jest to wspólne przedsięwzięcie realizowane od 2017 roku przez Ministra Edukacji Narodowej i Ministra Cyfryzacji. Operatorem projektu jest Naukowa i Akademicka Sieć Komputerowa – Państwowy Instytut Badawczy. </w:t>
      </w:r>
    </w:p>
    <w:p w:rsidR="00611DC2" w:rsidRPr="00611DC2" w:rsidRDefault="00611DC2" w:rsidP="00611DC2">
      <w:pPr>
        <w:spacing w:after="160" w:line="259" w:lineRule="auto"/>
        <w:jc w:val="both"/>
        <w:rPr>
          <w:rFonts w:ascii="Garamond" w:eastAsia="Calibri" w:hAnsi="Garamond" w:cs="Times New Roman"/>
          <w:lang w:eastAsia="en-US"/>
        </w:rPr>
      </w:pPr>
      <w:r w:rsidRPr="00611DC2">
        <w:rPr>
          <w:rFonts w:ascii="Garamond" w:eastAsia="Calibri" w:hAnsi="Garamond" w:cs="Times New Roman"/>
          <w:lang w:eastAsia="en-US"/>
        </w:rPr>
        <w:lastRenderedPageBreak/>
        <w:t xml:space="preserve">Program OSE </w:t>
      </w:r>
      <w:r w:rsidR="007C2BBD">
        <w:rPr>
          <w:rFonts w:ascii="Garamond" w:eastAsia="Calibri" w:hAnsi="Garamond" w:cs="Times New Roman"/>
          <w:lang w:eastAsia="en-US"/>
        </w:rPr>
        <w:t>wprowadzono</w:t>
      </w:r>
      <w:r w:rsidRPr="00611DC2">
        <w:rPr>
          <w:rFonts w:ascii="Garamond" w:eastAsia="Calibri" w:hAnsi="Garamond" w:cs="Times New Roman"/>
          <w:lang w:eastAsia="en-US"/>
        </w:rPr>
        <w:t xml:space="preserve"> w celu zapewnienia szkołom szerokopasmowego dostępu do bezpiecznego internetu, podnoszenia poziomu kompetencji cyfrowych uczniów, umożliwienia wspomagania procesu kształcenia w szkołach poprzez dostęp do zasobów dostępnych w internecie oraz wyrównania szans edukacyjnych wszystkich uczniów w Polsce. </w:t>
      </w:r>
    </w:p>
    <w:p w:rsidR="00611DC2" w:rsidRPr="00611DC2" w:rsidRDefault="00611DC2" w:rsidP="00611DC2">
      <w:pPr>
        <w:spacing w:after="160" w:line="259" w:lineRule="auto"/>
        <w:jc w:val="both"/>
        <w:rPr>
          <w:rFonts w:ascii="Garamond" w:eastAsia="Calibri" w:hAnsi="Garamond" w:cs="Times New Roman"/>
          <w:lang w:eastAsia="en-US"/>
        </w:rPr>
      </w:pPr>
      <w:r w:rsidRPr="00611DC2">
        <w:rPr>
          <w:rFonts w:ascii="Garamond" w:eastAsia="Calibri" w:hAnsi="Garamond" w:cs="Times New Roman"/>
          <w:lang w:eastAsia="en-US"/>
        </w:rPr>
        <w:t>Do 23 października br. 19 927 szkół zgłosiło chęć przystąpienia do OSE. 19 429 placówek wypełniło ankiety techniczne, co otwiera drogę do przyłączenia szkoły do OSE. Ponad 18 800 dyrektorów szkół podpisało już umowy o świadczenie usług OSE. Z kolei do OSE jest już podłączonych 15 616 szkół, z czego 13 300 placówek w pełni korzysta z usług OSE.</w:t>
      </w:r>
    </w:p>
    <w:p w:rsidR="00611DC2" w:rsidRPr="00611DC2" w:rsidRDefault="00611DC2" w:rsidP="00611DC2">
      <w:pPr>
        <w:spacing w:after="160" w:line="259" w:lineRule="auto"/>
        <w:jc w:val="both"/>
        <w:rPr>
          <w:rFonts w:ascii="Garamond" w:eastAsia="Calibri" w:hAnsi="Garamond" w:cs="Times New Roman"/>
          <w:b/>
          <w:lang w:eastAsia="en-US"/>
        </w:rPr>
      </w:pPr>
      <w:r w:rsidRPr="00611DC2">
        <w:rPr>
          <w:rFonts w:ascii="Garamond" w:eastAsia="Calibri" w:hAnsi="Garamond" w:cs="Times New Roman"/>
          <w:b/>
          <w:lang w:eastAsia="en-US"/>
        </w:rPr>
        <w:t xml:space="preserve">Rozwijanie kompetencji cyfrowych nauczycieli  </w:t>
      </w:r>
    </w:p>
    <w:p w:rsidR="00611DC2" w:rsidRPr="00611DC2" w:rsidRDefault="00611DC2" w:rsidP="00611DC2">
      <w:pPr>
        <w:spacing w:after="160" w:line="259" w:lineRule="auto"/>
        <w:jc w:val="both"/>
        <w:rPr>
          <w:rFonts w:ascii="Garamond" w:eastAsia="Calibri" w:hAnsi="Garamond" w:cs="Times New Roman"/>
          <w:lang w:eastAsia="en-US"/>
        </w:rPr>
      </w:pPr>
      <w:r w:rsidRPr="00611DC2">
        <w:rPr>
          <w:rFonts w:ascii="Garamond" w:eastAsia="Calibri" w:hAnsi="Garamond" w:cs="Times New Roman"/>
          <w:lang w:eastAsia="en-US"/>
        </w:rPr>
        <w:t xml:space="preserve">Do pracy z wykorzystaniem metod i technik kształcenia na odległość nauczyciele są przygotowywani już w trakcie studiów wyższych. Każdy absolwent studiów w specjalności nauczycielskiej nabywa kompetencje w zakresie skutecznego wykorzystywania technologii informacyjno-komunikacyjnej w realizacji zadań dydaktycznych. </w:t>
      </w:r>
    </w:p>
    <w:p w:rsidR="00611DC2" w:rsidRPr="00611DC2" w:rsidRDefault="00611DC2" w:rsidP="00611DC2">
      <w:pPr>
        <w:spacing w:after="160" w:line="259" w:lineRule="auto"/>
        <w:jc w:val="both"/>
        <w:rPr>
          <w:rFonts w:ascii="Garamond" w:eastAsia="Calibri" w:hAnsi="Garamond" w:cs="Times New Roman"/>
          <w:lang w:eastAsia="en-US"/>
        </w:rPr>
      </w:pPr>
      <w:r w:rsidRPr="00611DC2">
        <w:rPr>
          <w:rFonts w:ascii="Garamond" w:eastAsia="Calibri" w:hAnsi="Garamond" w:cs="Times New Roman"/>
          <w:lang w:eastAsia="en-US"/>
        </w:rPr>
        <w:t xml:space="preserve">Czynni nauczyciele mają możliwość rozwijania kompetencji cyfrowych w ramach form doskonalenia oferowanych przez placówki doskonalenia nauczycieli lub biblioteki pedagogiczne. W obecnej perspektywie finansowej EFS 2014-2020 w Programie Operacyjnym Wiedza Edukacja Rozwój (Działanie 2.10 Wysoka jakość systemu oświaty) realizowane </w:t>
      </w:r>
      <w:r w:rsidR="008F53E0">
        <w:rPr>
          <w:rFonts w:ascii="Garamond" w:eastAsia="Calibri" w:hAnsi="Garamond" w:cs="Times New Roman"/>
          <w:lang w:eastAsia="en-US"/>
        </w:rPr>
        <w:t xml:space="preserve">są </w:t>
      </w:r>
      <w:r w:rsidRPr="00611DC2">
        <w:rPr>
          <w:rFonts w:ascii="Garamond" w:eastAsia="Calibri" w:hAnsi="Garamond" w:cs="Times New Roman"/>
          <w:lang w:eastAsia="en-US"/>
        </w:rPr>
        <w:t xml:space="preserve">szkolenia i </w:t>
      </w:r>
      <w:r w:rsidR="008F53E0">
        <w:rPr>
          <w:rFonts w:ascii="Garamond" w:eastAsia="Calibri" w:hAnsi="Garamond" w:cs="Times New Roman"/>
          <w:lang w:eastAsia="en-US"/>
        </w:rPr>
        <w:t>działania doradcze</w:t>
      </w:r>
      <w:r w:rsidRPr="00611DC2">
        <w:rPr>
          <w:rFonts w:ascii="Garamond" w:eastAsia="Calibri" w:hAnsi="Garamond" w:cs="Times New Roman"/>
          <w:lang w:eastAsia="en-US"/>
        </w:rPr>
        <w:t xml:space="preserve"> w zakresie rozwijania u uczniów kompetencji kluczowych</w:t>
      </w:r>
      <w:r w:rsidR="008F53E0">
        <w:rPr>
          <w:rFonts w:ascii="Garamond" w:eastAsia="Calibri" w:hAnsi="Garamond" w:cs="Times New Roman"/>
          <w:lang w:eastAsia="en-US"/>
        </w:rPr>
        <w:t>. Dotyczy to również k</w:t>
      </w:r>
      <w:r w:rsidRPr="00611DC2">
        <w:rPr>
          <w:rFonts w:ascii="Garamond" w:eastAsia="Calibri" w:hAnsi="Garamond" w:cs="Times New Roman"/>
          <w:lang w:eastAsia="en-US"/>
        </w:rPr>
        <w:t xml:space="preserve">orzystania z nowoczesnych technologii informacyjno-komunikacyjnych </w:t>
      </w:r>
      <w:r w:rsidR="008F53E0">
        <w:rPr>
          <w:rFonts w:ascii="Garamond" w:eastAsia="Calibri" w:hAnsi="Garamond" w:cs="Times New Roman"/>
          <w:lang w:eastAsia="en-US"/>
        </w:rPr>
        <w:t>przez kadrę</w:t>
      </w:r>
      <w:r w:rsidRPr="00611DC2">
        <w:rPr>
          <w:rFonts w:ascii="Garamond" w:eastAsia="Calibri" w:hAnsi="Garamond" w:cs="Times New Roman"/>
          <w:lang w:eastAsia="en-US"/>
        </w:rPr>
        <w:t xml:space="preserve"> placówek doskonalenia nauczycieli, poradni psychologiczno-pedagogicznych, bibliotek pedagogicznych oraz kadry kierowniczej oświaty. </w:t>
      </w:r>
    </w:p>
    <w:p w:rsidR="00611DC2" w:rsidRPr="00611DC2" w:rsidRDefault="008F53E0" w:rsidP="00611DC2">
      <w:pPr>
        <w:spacing w:after="160" w:line="259" w:lineRule="auto"/>
        <w:jc w:val="both"/>
        <w:rPr>
          <w:rFonts w:ascii="Garamond" w:eastAsia="Calibri" w:hAnsi="Garamond" w:cs="Times New Roman"/>
          <w:lang w:eastAsia="en-US"/>
        </w:rPr>
      </w:pPr>
      <w:r>
        <w:rPr>
          <w:rFonts w:ascii="Garamond" w:eastAsia="Calibri" w:hAnsi="Garamond" w:cs="Times New Roman"/>
          <w:lang w:eastAsia="en-US"/>
        </w:rPr>
        <w:t>Blisko</w:t>
      </w:r>
      <w:r w:rsidR="00611DC2" w:rsidRPr="00611DC2">
        <w:rPr>
          <w:rFonts w:ascii="Garamond" w:eastAsia="Calibri" w:hAnsi="Garamond" w:cs="Times New Roman"/>
          <w:lang w:eastAsia="en-US"/>
        </w:rPr>
        <w:t xml:space="preserve"> 50 mln zł zostanie </w:t>
      </w:r>
      <w:r>
        <w:rPr>
          <w:rFonts w:ascii="Garamond" w:eastAsia="Calibri" w:hAnsi="Garamond" w:cs="Times New Roman"/>
          <w:lang w:eastAsia="en-US"/>
        </w:rPr>
        <w:t xml:space="preserve">przeznaczonych na </w:t>
      </w:r>
      <w:r w:rsidR="00611DC2" w:rsidRPr="00611DC2">
        <w:rPr>
          <w:rFonts w:ascii="Garamond" w:eastAsia="Calibri" w:hAnsi="Garamond" w:cs="Times New Roman"/>
          <w:lang w:eastAsia="en-US"/>
        </w:rPr>
        <w:t>przeszkol</w:t>
      </w:r>
      <w:r>
        <w:rPr>
          <w:rFonts w:ascii="Garamond" w:eastAsia="Calibri" w:hAnsi="Garamond" w:cs="Times New Roman"/>
          <w:lang w:eastAsia="en-US"/>
        </w:rPr>
        <w:t>enie</w:t>
      </w:r>
      <w:r w:rsidR="00611DC2" w:rsidRPr="00611DC2">
        <w:rPr>
          <w:rFonts w:ascii="Garamond" w:eastAsia="Calibri" w:hAnsi="Garamond" w:cs="Times New Roman"/>
          <w:lang w:eastAsia="en-US"/>
        </w:rPr>
        <w:t xml:space="preserve"> 32 tys. pracowników placówek doskonalenia nauczycieli, bibliotek pedagogicznych i nauczycieli z zakresu prowadzenia kształcenia na odległość. Projekt powstał z inicjatywny MEN, a realizuje go Ośrodek Rozwoju Edukacji. </w:t>
      </w:r>
    </w:p>
    <w:p w:rsidR="00F73446" w:rsidRPr="00F73446" w:rsidRDefault="00F73446" w:rsidP="00611DC2">
      <w:pPr>
        <w:spacing w:after="160" w:line="259" w:lineRule="auto"/>
        <w:jc w:val="both"/>
        <w:rPr>
          <w:rFonts w:ascii="Garamond" w:eastAsia="Calibri" w:hAnsi="Garamond" w:cs="Times New Roman"/>
          <w:b/>
          <w:lang w:eastAsia="en-US"/>
        </w:rPr>
      </w:pPr>
      <w:r w:rsidRPr="00F73446">
        <w:rPr>
          <w:rFonts w:ascii="Garamond" w:eastAsia="Calibri" w:hAnsi="Garamond" w:cs="Times New Roman"/>
          <w:b/>
          <w:lang w:eastAsia="en-US"/>
        </w:rPr>
        <w:t>Projekt „Lekcja:Enter”</w:t>
      </w:r>
    </w:p>
    <w:p w:rsidR="00611DC2" w:rsidRPr="00611DC2" w:rsidRDefault="008F53E0" w:rsidP="00611DC2">
      <w:pPr>
        <w:spacing w:after="160" w:line="259" w:lineRule="auto"/>
        <w:jc w:val="both"/>
        <w:rPr>
          <w:rFonts w:ascii="Garamond" w:eastAsia="Calibri" w:hAnsi="Garamond" w:cs="Times New Roman"/>
          <w:lang w:eastAsia="en-US"/>
        </w:rPr>
      </w:pPr>
      <w:r>
        <w:rPr>
          <w:rFonts w:ascii="Garamond" w:eastAsia="Calibri" w:hAnsi="Garamond" w:cs="Times New Roman"/>
          <w:lang w:eastAsia="en-US"/>
        </w:rPr>
        <w:t>Dodatkowo w</w:t>
      </w:r>
      <w:r w:rsidR="00F73446">
        <w:rPr>
          <w:rFonts w:ascii="Garamond" w:eastAsia="Calibri" w:hAnsi="Garamond" w:cs="Times New Roman"/>
          <w:lang w:eastAsia="en-US"/>
        </w:rPr>
        <w:t xml:space="preserve"> ramach projektu „Lekcja:E</w:t>
      </w:r>
      <w:r w:rsidR="00611DC2" w:rsidRPr="00611DC2">
        <w:rPr>
          <w:rFonts w:ascii="Garamond" w:eastAsia="Calibri" w:hAnsi="Garamond" w:cs="Times New Roman"/>
          <w:lang w:eastAsia="en-US"/>
        </w:rPr>
        <w:t>nter” z wykorzystywania technologii informacyjno-komunikacyjnych w codziennej pracy z uczniami zostanie przeszkolonych 75 tys. nauczycieli. Na ten przeznaczon</w:t>
      </w:r>
      <w:r>
        <w:rPr>
          <w:rFonts w:ascii="Garamond" w:eastAsia="Calibri" w:hAnsi="Garamond" w:cs="Times New Roman"/>
          <w:lang w:eastAsia="en-US"/>
        </w:rPr>
        <w:t>o</w:t>
      </w:r>
      <w:r w:rsidR="00611DC2" w:rsidRPr="00611DC2">
        <w:rPr>
          <w:rFonts w:ascii="Garamond" w:eastAsia="Calibri" w:hAnsi="Garamond" w:cs="Times New Roman"/>
          <w:lang w:eastAsia="en-US"/>
        </w:rPr>
        <w:t xml:space="preserve"> 50 mln zł.</w:t>
      </w:r>
    </w:p>
    <w:p w:rsidR="00611DC2" w:rsidRPr="00611DC2" w:rsidRDefault="00F73446" w:rsidP="00611DC2">
      <w:pPr>
        <w:spacing w:after="160" w:line="259" w:lineRule="auto"/>
        <w:jc w:val="both"/>
        <w:rPr>
          <w:rFonts w:ascii="Garamond" w:eastAsia="Calibri" w:hAnsi="Garamond" w:cs="Times New Roman"/>
          <w:lang w:eastAsia="en-US"/>
        </w:rPr>
      </w:pPr>
      <w:r>
        <w:rPr>
          <w:rFonts w:ascii="Garamond" w:eastAsia="Calibri" w:hAnsi="Garamond" w:cs="Times New Roman"/>
          <w:lang w:eastAsia="en-US"/>
        </w:rPr>
        <w:t>Na stronie „Lekcja:</w:t>
      </w:r>
      <w:r w:rsidR="00611DC2" w:rsidRPr="00611DC2">
        <w:rPr>
          <w:rFonts w:ascii="Garamond" w:eastAsia="Calibri" w:hAnsi="Garamond" w:cs="Times New Roman"/>
          <w:lang w:eastAsia="en-US"/>
        </w:rPr>
        <w:t xml:space="preserve">Enter” </w:t>
      </w:r>
      <w:r w:rsidR="008F53E0">
        <w:rPr>
          <w:rFonts w:ascii="Garamond" w:eastAsia="Calibri" w:hAnsi="Garamond" w:cs="Times New Roman"/>
          <w:lang w:eastAsia="en-US"/>
        </w:rPr>
        <w:t>zamieszczono</w:t>
      </w:r>
      <w:r w:rsidR="00611DC2" w:rsidRPr="00611DC2">
        <w:rPr>
          <w:rFonts w:ascii="Garamond" w:eastAsia="Calibri" w:hAnsi="Garamond" w:cs="Times New Roman"/>
          <w:lang w:eastAsia="en-US"/>
        </w:rPr>
        <w:t xml:space="preserve"> materiały szkoleniowe związane</w:t>
      </w:r>
      <w:r w:rsidR="008F53E0">
        <w:rPr>
          <w:rFonts w:ascii="Garamond" w:eastAsia="Calibri" w:hAnsi="Garamond" w:cs="Times New Roman"/>
          <w:lang w:eastAsia="en-US"/>
        </w:rPr>
        <w:t xml:space="preserve"> </w:t>
      </w:r>
      <w:r w:rsidR="00611DC2" w:rsidRPr="00611DC2">
        <w:rPr>
          <w:rFonts w:ascii="Garamond" w:eastAsia="Calibri" w:hAnsi="Garamond" w:cs="Times New Roman"/>
          <w:lang w:eastAsia="en-US"/>
        </w:rPr>
        <w:t>z nauczaniem on-line. Nauczyciele mogą w nich znaleźć podpowiedzi dotyczące dodatkowych zasobów i narzędzi internetowych w kształceniu na odległość, w tym zestawy kilkunastu tutoriali. Materiały przygotowali eksperci biorący udział w projekcie „Lekcja: Enter”.</w:t>
      </w:r>
    </w:p>
    <w:p w:rsidR="00611DC2" w:rsidRPr="00611DC2" w:rsidRDefault="00611DC2" w:rsidP="00611DC2">
      <w:pPr>
        <w:spacing w:after="160" w:line="259" w:lineRule="auto"/>
        <w:jc w:val="both"/>
        <w:rPr>
          <w:rFonts w:ascii="Garamond" w:eastAsia="Calibri" w:hAnsi="Garamond" w:cs="Times New Roman"/>
          <w:lang w:eastAsia="en-US"/>
        </w:rPr>
      </w:pPr>
      <w:r w:rsidRPr="00611DC2">
        <w:rPr>
          <w:rFonts w:ascii="Garamond" w:eastAsia="Calibri" w:hAnsi="Garamond" w:cs="Times New Roman"/>
          <w:lang w:eastAsia="en-US"/>
        </w:rPr>
        <w:t xml:space="preserve">Projekt „Lekcja: Enter” </w:t>
      </w:r>
      <w:r w:rsidR="00F73446">
        <w:rPr>
          <w:rFonts w:ascii="Garamond" w:eastAsia="Calibri" w:hAnsi="Garamond" w:cs="Times New Roman"/>
          <w:lang w:eastAsia="en-US"/>
        </w:rPr>
        <w:t>finansowano</w:t>
      </w:r>
      <w:r w:rsidRPr="00611DC2">
        <w:rPr>
          <w:rFonts w:ascii="Garamond" w:eastAsia="Calibri" w:hAnsi="Garamond" w:cs="Times New Roman"/>
          <w:lang w:eastAsia="en-US"/>
        </w:rPr>
        <w:t xml:space="preserve"> ze środków UE, a realizują go podmioty wyłonione w konkursie: Fundacja Orange, Fundacja Rozwoju Społeczeństwa Informacyjnego oraz Instytut Spraw Publicznych.</w:t>
      </w:r>
    </w:p>
    <w:p w:rsidR="00F73446" w:rsidRDefault="00F73446" w:rsidP="00611DC2">
      <w:pPr>
        <w:spacing w:after="160" w:line="259" w:lineRule="auto"/>
        <w:jc w:val="both"/>
        <w:rPr>
          <w:rFonts w:ascii="Garamond" w:eastAsia="Calibri" w:hAnsi="Garamond" w:cs="Times New Roman"/>
          <w:lang w:eastAsia="en-US"/>
        </w:rPr>
      </w:pPr>
    </w:p>
    <w:p w:rsidR="00611DC2" w:rsidRPr="00611DC2" w:rsidRDefault="00611DC2" w:rsidP="00611DC2">
      <w:pPr>
        <w:spacing w:after="160" w:line="259" w:lineRule="auto"/>
        <w:jc w:val="both"/>
        <w:rPr>
          <w:rFonts w:ascii="Garamond" w:eastAsia="Calibri" w:hAnsi="Garamond" w:cs="Times New Roman"/>
          <w:lang w:eastAsia="en-US"/>
        </w:rPr>
      </w:pPr>
      <w:r w:rsidRPr="00611DC2">
        <w:rPr>
          <w:rFonts w:ascii="Garamond" w:eastAsia="Calibri" w:hAnsi="Garamond" w:cs="Times New Roman"/>
          <w:lang w:eastAsia="en-US"/>
        </w:rPr>
        <w:lastRenderedPageBreak/>
        <w:t>Dzięki funduszom europejskim za 76 mln zł blisko 10 tys. nauczycieli edukacji wczesnoszkolnej otrzyma wsparcie rozwoju kompetencji w zakresie nauczania programowania.</w:t>
      </w:r>
    </w:p>
    <w:p w:rsidR="00611DC2" w:rsidRPr="00611DC2" w:rsidRDefault="00611DC2" w:rsidP="00611DC2">
      <w:pPr>
        <w:spacing w:after="160" w:line="259" w:lineRule="auto"/>
        <w:jc w:val="both"/>
        <w:rPr>
          <w:rFonts w:ascii="Garamond" w:eastAsia="Calibri" w:hAnsi="Garamond" w:cs="Times New Roman"/>
          <w:lang w:eastAsia="en-US"/>
        </w:rPr>
      </w:pPr>
      <w:r w:rsidRPr="00611DC2">
        <w:rPr>
          <w:rFonts w:ascii="Garamond" w:eastAsia="Calibri" w:hAnsi="Garamond" w:cs="Times New Roman"/>
          <w:lang w:eastAsia="en-US"/>
        </w:rPr>
        <w:t xml:space="preserve">Polscy nauczyciele stanowią liczną grupę wśród nauczycieli uczestniczących w europejskim programie eTwinning. To platforma współpracy dla kadry szkolnej (nauczycieli, dyrektorów szkół, bibliotekarzy, itp.) z jednego z krajów europejskich, które komunikują się, współpracują, realizują wspólne projekty oraz dzielną się doświadczeniami. Na ponad 800 tys. uczestników programu, ponad 70 tys. to nauczyciele z Polski. </w:t>
      </w:r>
    </w:p>
    <w:p w:rsidR="00611DC2" w:rsidRPr="00611DC2" w:rsidRDefault="00611DC2" w:rsidP="00611DC2">
      <w:pPr>
        <w:spacing w:after="160" w:line="259" w:lineRule="auto"/>
        <w:jc w:val="both"/>
        <w:rPr>
          <w:rFonts w:ascii="Garamond" w:eastAsia="Calibri" w:hAnsi="Garamond" w:cs="Times New Roman"/>
          <w:b/>
          <w:lang w:eastAsia="en-US"/>
        </w:rPr>
      </w:pPr>
      <w:r w:rsidRPr="00611DC2">
        <w:rPr>
          <w:rFonts w:ascii="Garamond" w:eastAsia="Calibri" w:hAnsi="Garamond" w:cs="Times New Roman"/>
          <w:b/>
          <w:lang w:eastAsia="en-US"/>
        </w:rPr>
        <w:t>Środki higieny osobistej d</w:t>
      </w:r>
      <w:r w:rsidR="00F73446">
        <w:rPr>
          <w:rFonts w:ascii="Garamond" w:eastAsia="Calibri" w:hAnsi="Garamond" w:cs="Times New Roman"/>
          <w:b/>
          <w:lang w:eastAsia="en-US"/>
        </w:rPr>
        <w:t>la</w:t>
      </w:r>
      <w:r w:rsidRPr="00611DC2">
        <w:rPr>
          <w:rFonts w:ascii="Garamond" w:eastAsia="Calibri" w:hAnsi="Garamond" w:cs="Times New Roman"/>
          <w:b/>
          <w:lang w:eastAsia="en-US"/>
        </w:rPr>
        <w:t xml:space="preserve"> szkół</w:t>
      </w:r>
    </w:p>
    <w:p w:rsidR="00611DC2" w:rsidRDefault="00611DC2" w:rsidP="00EC6017">
      <w:pPr>
        <w:spacing w:after="160" w:line="259" w:lineRule="auto"/>
        <w:jc w:val="both"/>
        <w:rPr>
          <w:rFonts w:ascii="Garamond" w:eastAsia="Calibri" w:hAnsi="Garamond" w:cs="Times New Roman"/>
          <w:lang w:eastAsia="en-US"/>
        </w:rPr>
      </w:pPr>
      <w:r w:rsidRPr="00611DC2">
        <w:rPr>
          <w:rFonts w:ascii="Garamond" w:eastAsia="Calibri" w:hAnsi="Garamond" w:cs="Times New Roman"/>
          <w:lang w:eastAsia="en-US"/>
        </w:rPr>
        <w:t>Jeszcze przed rozpoczęciem nowego roku szkolnego lub tuż po jego rozpoczęciu do szkół i placówek oświatowych trafiło 17,7 tys. dyspenserów, 55 mln maseczek, 6,8 mln litrów płynów do dezynfekcji oraz 75 tys. termometrów bezdotykowych</w:t>
      </w:r>
      <w:r w:rsidR="00EC6017">
        <w:rPr>
          <w:rFonts w:ascii="Garamond" w:eastAsia="Calibri" w:hAnsi="Garamond" w:cs="Times New Roman"/>
          <w:lang w:eastAsia="en-US"/>
        </w:rPr>
        <w:t xml:space="preserve">. </w:t>
      </w:r>
      <w:r w:rsidRPr="00611DC2">
        <w:rPr>
          <w:rFonts w:ascii="Garamond" w:eastAsia="Calibri" w:hAnsi="Garamond" w:cs="Times New Roman"/>
          <w:lang w:eastAsia="en-US"/>
        </w:rPr>
        <w:t>Środki ochrony indywidualnej były przekazy</w:t>
      </w:r>
      <w:r w:rsidR="00EC6017">
        <w:rPr>
          <w:rFonts w:ascii="Garamond" w:eastAsia="Calibri" w:hAnsi="Garamond" w:cs="Times New Roman"/>
          <w:lang w:eastAsia="en-US"/>
        </w:rPr>
        <w:t xml:space="preserve">wane przez Ministerstwo Zdrowia przy współpracy z MEN. </w:t>
      </w:r>
    </w:p>
    <w:p w:rsidR="00611DC2" w:rsidRPr="00611DC2" w:rsidRDefault="00611DC2" w:rsidP="00611DC2">
      <w:pPr>
        <w:jc w:val="both"/>
        <w:rPr>
          <w:rFonts w:ascii="Garamond" w:hAnsi="Garamond"/>
        </w:rPr>
      </w:pPr>
    </w:p>
    <w:p w:rsidR="00811075" w:rsidRPr="00611DC2" w:rsidRDefault="00811075" w:rsidP="00611DC2">
      <w:pPr>
        <w:jc w:val="both"/>
        <w:rPr>
          <w:rFonts w:ascii="Garamond" w:hAnsi="Garamond"/>
        </w:rPr>
      </w:pPr>
      <w:r w:rsidRPr="00611DC2">
        <w:rPr>
          <w:rFonts w:ascii="Garamond" w:hAnsi="Garamond"/>
        </w:rPr>
        <w:t>Departament Informacji i Promocji</w:t>
      </w:r>
    </w:p>
    <w:p w:rsidR="00811075" w:rsidRPr="00611DC2" w:rsidRDefault="00811075" w:rsidP="00611DC2">
      <w:pPr>
        <w:jc w:val="both"/>
        <w:rPr>
          <w:rFonts w:ascii="Garamond" w:hAnsi="Garamond"/>
        </w:rPr>
      </w:pPr>
      <w:r w:rsidRPr="00611DC2">
        <w:rPr>
          <w:rFonts w:ascii="Garamond" w:hAnsi="Garamond"/>
        </w:rPr>
        <w:t>Ministerstwo Edukacji Narodowej</w:t>
      </w:r>
    </w:p>
    <w:p w:rsidR="00811075" w:rsidRDefault="00811075" w:rsidP="00611DC2">
      <w:pPr>
        <w:jc w:val="both"/>
        <w:rPr>
          <w:rFonts w:ascii="Garamond" w:hAnsi="Garamond"/>
        </w:rPr>
      </w:pPr>
    </w:p>
    <w:sectPr w:rsidR="00811075">
      <w:footerReference w:type="default" r:id="rId8"/>
      <w:headerReference w:type="first" r:id="rId9"/>
      <w:footerReference w:type="first" r:id="rId10"/>
      <w:pgSz w:w="11906" w:h="16838"/>
      <w:pgMar w:top="1701" w:right="1701" w:bottom="1701" w:left="1701" w:header="1701"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AE9" w:rsidRDefault="00E07AE9">
      <w:r>
        <w:separator/>
      </w:r>
    </w:p>
  </w:endnote>
  <w:endnote w:type="continuationSeparator" w:id="0">
    <w:p w:rsidR="00E07AE9" w:rsidRDefault="00E07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2554580"/>
      <w:docPartObj>
        <w:docPartGallery w:val="Page Numbers (Bottom of Page)"/>
        <w:docPartUnique/>
      </w:docPartObj>
    </w:sdtPr>
    <w:sdtEndPr/>
    <w:sdtContent>
      <w:p w:rsidR="00853AD1" w:rsidRDefault="00853AD1">
        <w:pPr>
          <w:pStyle w:val="Stopka"/>
          <w:jc w:val="right"/>
        </w:pPr>
        <w:r>
          <w:fldChar w:fldCharType="begin"/>
        </w:r>
        <w:r>
          <w:instrText>PAGE   \* MERGEFORMAT</w:instrText>
        </w:r>
        <w:r>
          <w:fldChar w:fldCharType="separate"/>
        </w:r>
        <w:r w:rsidR="00933BEA">
          <w:rPr>
            <w:noProof/>
          </w:rPr>
          <w:t>2</w:t>
        </w:r>
        <w:r>
          <w:fldChar w:fldCharType="end"/>
        </w:r>
      </w:p>
    </w:sdtContent>
  </w:sdt>
  <w:p w:rsidR="002A740F" w:rsidRDefault="002A740F">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40F" w:rsidRDefault="00C377BC">
    <w:pPr>
      <w:pStyle w:val="Stopka"/>
    </w:pPr>
    <w:r>
      <w:rPr>
        <w:noProof/>
      </w:rPr>
      <w:drawing>
        <wp:anchor distT="0" distB="0" distL="114300" distR="114300" simplePos="0" relativeHeight="251656704" behindDoc="1" locked="1" layoutInCell="1" allowOverlap="0" wp14:anchorId="065DA666" wp14:editId="51C5582B">
          <wp:simplePos x="0" y="0"/>
          <wp:positionH relativeFrom="page">
            <wp:align>center</wp:align>
          </wp:positionH>
          <wp:positionV relativeFrom="page">
            <wp:align>bottom</wp:align>
          </wp:positionV>
          <wp:extent cx="5391150" cy="1095375"/>
          <wp:effectExtent l="0" t="0" r="0" b="0"/>
          <wp:wrapTopAndBottom/>
          <wp:docPr id="3" name="Obraz 3" descr="DYREKTOR GENERALNY-footer-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YREKTOR GENERALNY-footer-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10953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AE9" w:rsidRDefault="00E07AE9">
      <w:r>
        <w:separator/>
      </w:r>
    </w:p>
  </w:footnote>
  <w:footnote w:type="continuationSeparator" w:id="0">
    <w:p w:rsidR="00E07AE9" w:rsidRDefault="00E07A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40F" w:rsidRDefault="00C377BC">
    <w:pPr>
      <w:pStyle w:val="Nagwek"/>
    </w:pPr>
    <w:r>
      <w:rPr>
        <w:noProof/>
      </w:rPr>
      <w:drawing>
        <wp:anchor distT="0" distB="180340" distL="114300" distR="114300" simplePos="0" relativeHeight="251658752" behindDoc="1" locked="1" layoutInCell="1" allowOverlap="0" wp14:anchorId="69E2E482" wp14:editId="4065398D">
          <wp:simplePos x="0" y="0"/>
          <wp:positionH relativeFrom="page">
            <wp:align>center</wp:align>
          </wp:positionH>
          <wp:positionV relativeFrom="page">
            <wp:posOffset>612140</wp:posOffset>
          </wp:positionV>
          <wp:extent cx="5381625" cy="1066800"/>
          <wp:effectExtent l="0" t="0" r="0" b="0"/>
          <wp:wrapTopAndBottom/>
          <wp:docPr id="2" name="Obraz 2" descr="DYREKTOR GENERALNY-Robert Bartold-logotype-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YREKTOR GENERALNY-Robert Bartold-logotype-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1625" cy="10668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3085"/>
    <w:multiLevelType w:val="hybridMultilevel"/>
    <w:tmpl w:val="537047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F46549"/>
    <w:multiLevelType w:val="hybridMultilevel"/>
    <w:tmpl w:val="F4589702"/>
    <w:lvl w:ilvl="0" w:tplc="04150001">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2" w15:restartNumberingAfterBreak="0">
    <w:nsid w:val="0E1B57E5"/>
    <w:multiLevelType w:val="hybridMultilevel"/>
    <w:tmpl w:val="75D62C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8E119AD"/>
    <w:multiLevelType w:val="multilevel"/>
    <w:tmpl w:val="63F055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3C29FE"/>
    <w:multiLevelType w:val="hybridMultilevel"/>
    <w:tmpl w:val="6CB4C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0CA2C85"/>
    <w:multiLevelType w:val="hybridMultilevel"/>
    <w:tmpl w:val="415E39D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7A5123E"/>
    <w:multiLevelType w:val="hybridMultilevel"/>
    <w:tmpl w:val="244E43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1110DD3"/>
    <w:multiLevelType w:val="hybridMultilevel"/>
    <w:tmpl w:val="F4BA0B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35508DF"/>
    <w:multiLevelType w:val="hybridMultilevel"/>
    <w:tmpl w:val="FE5A85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5F8251C"/>
    <w:multiLevelType w:val="hybridMultilevel"/>
    <w:tmpl w:val="7ED29E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63B7E04"/>
    <w:multiLevelType w:val="hybridMultilevel"/>
    <w:tmpl w:val="FF946988"/>
    <w:lvl w:ilvl="0" w:tplc="F51CEC90">
      <w:start w:val="1"/>
      <w:numFmt w:val="low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6B25047"/>
    <w:multiLevelType w:val="hybridMultilevel"/>
    <w:tmpl w:val="F7EA7A2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E097049"/>
    <w:multiLevelType w:val="hybridMultilevel"/>
    <w:tmpl w:val="FD8ED15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F2F74F3"/>
    <w:multiLevelType w:val="hybridMultilevel"/>
    <w:tmpl w:val="BFB410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1B261DF"/>
    <w:multiLevelType w:val="hybridMultilevel"/>
    <w:tmpl w:val="5C5EF62C"/>
    <w:lvl w:ilvl="0" w:tplc="41A23D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E146E70"/>
    <w:multiLevelType w:val="hybridMultilevel"/>
    <w:tmpl w:val="44A861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0251351"/>
    <w:multiLevelType w:val="hybridMultilevel"/>
    <w:tmpl w:val="7E5E40F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7" w15:restartNumberingAfterBreak="0">
    <w:nsid w:val="70D44C85"/>
    <w:multiLevelType w:val="hybridMultilevel"/>
    <w:tmpl w:val="A58800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A835913"/>
    <w:multiLevelType w:val="hybridMultilevel"/>
    <w:tmpl w:val="042A219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7BC206FF"/>
    <w:multiLevelType w:val="hybridMultilevel"/>
    <w:tmpl w:val="2340AD64"/>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7F7341EC"/>
    <w:multiLevelType w:val="multilevel"/>
    <w:tmpl w:val="6E644FF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num w:numId="1">
    <w:abstractNumId w:val="3"/>
  </w:num>
  <w:num w:numId="2">
    <w:abstractNumId w:val="15"/>
  </w:num>
  <w:num w:numId="3">
    <w:abstractNumId w:val="11"/>
  </w:num>
  <w:num w:numId="4">
    <w:abstractNumId w:val="10"/>
  </w:num>
  <w:num w:numId="5">
    <w:abstractNumId w:val="2"/>
  </w:num>
  <w:num w:numId="6">
    <w:abstractNumId w:val="13"/>
  </w:num>
  <w:num w:numId="7">
    <w:abstractNumId w:val="14"/>
  </w:num>
  <w:num w:numId="8">
    <w:abstractNumId w:val="5"/>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2"/>
  </w:num>
  <w:num w:numId="12">
    <w:abstractNumId w:val="8"/>
  </w:num>
  <w:num w:numId="13">
    <w:abstractNumId w:val="20"/>
  </w:num>
  <w:num w:numId="14">
    <w:abstractNumId w:val="4"/>
  </w:num>
  <w:num w:numId="15">
    <w:abstractNumId w:val="17"/>
  </w:num>
  <w:num w:numId="16">
    <w:abstractNumId w:val="1"/>
  </w:num>
  <w:num w:numId="17">
    <w:abstractNumId w:val="19"/>
  </w:num>
  <w:num w:numId="18">
    <w:abstractNumId w:val="6"/>
  </w:num>
  <w:num w:numId="19">
    <w:abstractNumId w:val="18"/>
  </w:num>
  <w:num w:numId="20">
    <w:abstractNumId w:val="16"/>
  </w:num>
  <w:num w:numId="21">
    <w:abstractNumId w:val="7"/>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l-PL" w:vendorID="12" w:dllVersion="512" w:checkStyle="1"/>
  <w:defaultTabStop w:val="708"/>
  <w:hyphenationZone w:val="420"/>
  <w:drawingGridHorizontalSpacing w:val="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E04"/>
    <w:rsid w:val="00002B94"/>
    <w:rsid w:val="00006CBE"/>
    <w:rsid w:val="00007067"/>
    <w:rsid w:val="00013AA2"/>
    <w:rsid w:val="00021EEA"/>
    <w:rsid w:val="00026995"/>
    <w:rsid w:val="000271E8"/>
    <w:rsid w:val="000316DE"/>
    <w:rsid w:val="000316EC"/>
    <w:rsid w:val="000331FA"/>
    <w:rsid w:val="00050023"/>
    <w:rsid w:val="00064E68"/>
    <w:rsid w:val="000678E8"/>
    <w:rsid w:val="00070463"/>
    <w:rsid w:val="00070641"/>
    <w:rsid w:val="0007568B"/>
    <w:rsid w:val="000845BD"/>
    <w:rsid w:val="00095F62"/>
    <w:rsid w:val="000C4FF6"/>
    <w:rsid w:val="000D22A2"/>
    <w:rsid w:val="000E234E"/>
    <w:rsid w:val="000E7BE5"/>
    <w:rsid w:val="000F0B03"/>
    <w:rsid w:val="000F2C17"/>
    <w:rsid w:val="000F51B9"/>
    <w:rsid w:val="000F7595"/>
    <w:rsid w:val="001014C3"/>
    <w:rsid w:val="00103A04"/>
    <w:rsid w:val="00111E3D"/>
    <w:rsid w:val="00122FD4"/>
    <w:rsid w:val="00126DF2"/>
    <w:rsid w:val="00134330"/>
    <w:rsid w:val="001375CC"/>
    <w:rsid w:val="00160A94"/>
    <w:rsid w:val="0018072D"/>
    <w:rsid w:val="0019630C"/>
    <w:rsid w:val="00196314"/>
    <w:rsid w:val="001A0074"/>
    <w:rsid w:val="001B6B15"/>
    <w:rsid w:val="001C6A60"/>
    <w:rsid w:val="001D3804"/>
    <w:rsid w:val="001E3463"/>
    <w:rsid w:val="001F1FD7"/>
    <w:rsid w:val="00201D75"/>
    <w:rsid w:val="00211442"/>
    <w:rsid w:val="00217CB1"/>
    <w:rsid w:val="00223CCF"/>
    <w:rsid w:val="00227EAF"/>
    <w:rsid w:val="002303A1"/>
    <w:rsid w:val="002342EF"/>
    <w:rsid w:val="00241ACF"/>
    <w:rsid w:val="00241C5D"/>
    <w:rsid w:val="00245F52"/>
    <w:rsid w:val="00253168"/>
    <w:rsid w:val="00266CEA"/>
    <w:rsid w:val="002675A9"/>
    <w:rsid w:val="00270EE9"/>
    <w:rsid w:val="00282DEA"/>
    <w:rsid w:val="002846DA"/>
    <w:rsid w:val="00293D7D"/>
    <w:rsid w:val="002A17C1"/>
    <w:rsid w:val="002A54C9"/>
    <w:rsid w:val="002A57FA"/>
    <w:rsid w:val="002A622F"/>
    <w:rsid w:val="002A740F"/>
    <w:rsid w:val="002B34B3"/>
    <w:rsid w:val="002B5B59"/>
    <w:rsid w:val="002B6155"/>
    <w:rsid w:val="002B6D68"/>
    <w:rsid w:val="002D5B77"/>
    <w:rsid w:val="002E0E1D"/>
    <w:rsid w:val="002E26FF"/>
    <w:rsid w:val="002F0032"/>
    <w:rsid w:val="002F1E30"/>
    <w:rsid w:val="003101A9"/>
    <w:rsid w:val="00320E04"/>
    <w:rsid w:val="00325FB8"/>
    <w:rsid w:val="003309DB"/>
    <w:rsid w:val="00331CD1"/>
    <w:rsid w:val="003352AE"/>
    <w:rsid w:val="00347AA4"/>
    <w:rsid w:val="0035129F"/>
    <w:rsid w:val="00355E2A"/>
    <w:rsid w:val="00357629"/>
    <w:rsid w:val="00364459"/>
    <w:rsid w:val="0036553A"/>
    <w:rsid w:val="00366C59"/>
    <w:rsid w:val="00371344"/>
    <w:rsid w:val="003715A6"/>
    <w:rsid w:val="0037513A"/>
    <w:rsid w:val="003808E5"/>
    <w:rsid w:val="0039552E"/>
    <w:rsid w:val="003A1074"/>
    <w:rsid w:val="003A186C"/>
    <w:rsid w:val="003B0DC1"/>
    <w:rsid w:val="003B1D8E"/>
    <w:rsid w:val="003B1FE5"/>
    <w:rsid w:val="003C1BA0"/>
    <w:rsid w:val="003C21E5"/>
    <w:rsid w:val="003C6AB9"/>
    <w:rsid w:val="003D3239"/>
    <w:rsid w:val="003D6A21"/>
    <w:rsid w:val="00402F49"/>
    <w:rsid w:val="00414745"/>
    <w:rsid w:val="004223F9"/>
    <w:rsid w:val="00422DFA"/>
    <w:rsid w:val="00424F67"/>
    <w:rsid w:val="00431D12"/>
    <w:rsid w:val="00432795"/>
    <w:rsid w:val="00435069"/>
    <w:rsid w:val="004427B0"/>
    <w:rsid w:val="00444093"/>
    <w:rsid w:val="00453124"/>
    <w:rsid w:val="00453B0B"/>
    <w:rsid w:val="004560E6"/>
    <w:rsid w:val="00465A50"/>
    <w:rsid w:val="0046713C"/>
    <w:rsid w:val="00470425"/>
    <w:rsid w:val="0047141A"/>
    <w:rsid w:val="00476A8D"/>
    <w:rsid w:val="00477793"/>
    <w:rsid w:val="0048430A"/>
    <w:rsid w:val="00492FE9"/>
    <w:rsid w:val="00496291"/>
    <w:rsid w:val="004D7485"/>
    <w:rsid w:val="004E5F83"/>
    <w:rsid w:val="004E6E8C"/>
    <w:rsid w:val="004E75F4"/>
    <w:rsid w:val="004F56A2"/>
    <w:rsid w:val="005218FE"/>
    <w:rsid w:val="0053087D"/>
    <w:rsid w:val="00533C8E"/>
    <w:rsid w:val="005341EE"/>
    <w:rsid w:val="005361E6"/>
    <w:rsid w:val="005379A5"/>
    <w:rsid w:val="00542C29"/>
    <w:rsid w:val="00552FA8"/>
    <w:rsid w:val="00553869"/>
    <w:rsid w:val="0055556C"/>
    <w:rsid w:val="00557F1B"/>
    <w:rsid w:val="005636FE"/>
    <w:rsid w:val="00574BE7"/>
    <w:rsid w:val="00580E58"/>
    <w:rsid w:val="005907F2"/>
    <w:rsid w:val="00590CDB"/>
    <w:rsid w:val="00596949"/>
    <w:rsid w:val="005B29F4"/>
    <w:rsid w:val="005B5998"/>
    <w:rsid w:val="005C01DB"/>
    <w:rsid w:val="005E6A42"/>
    <w:rsid w:val="00607380"/>
    <w:rsid w:val="00607927"/>
    <w:rsid w:val="006110FE"/>
    <w:rsid w:val="00611DC2"/>
    <w:rsid w:val="00613143"/>
    <w:rsid w:val="00617436"/>
    <w:rsid w:val="006179AC"/>
    <w:rsid w:val="006303E0"/>
    <w:rsid w:val="0064201D"/>
    <w:rsid w:val="00651CEA"/>
    <w:rsid w:val="0065499D"/>
    <w:rsid w:val="00657222"/>
    <w:rsid w:val="006652EB"/>
    <w:rsid w:val="00685C65"/>
    <w:rsid w:val="00687AAC"/>
    <w:rsid w:val="006958CC"/>
    <w:rsid w:val="00695A19"/>
    <w:rsid w:val="006974BB"/>
    <w:rsid w:val="006A1B95"/>
    <w:rsid w:val="006A5DFF"/>
    <w:rsid w:val="006B2C20"/>
    <w:rsid w:val="006B2E06"/>
    <w:rsid w:val="006B3E51"/>
    <w:rsid w:val="006C372E"/>
    <w:rsid w:val="006D5349"/>
    <w:rsid w:val="006E1133"/>
    <w:rsid w:val="006E2A76"/>
    <w:rsid w:val="006E504C"/>
    <w:rsid w:val="00705DFC"/>
    <w:rsid w:val="00711722"/>
    <w:rsid w:val="00715BB4"/>
    <w:rsid w:val="00716C6A"/>
    <w:rsid w:val="00747923"/>
    <w:rsid w:val="00755D00"/>
    <w:rsid w:val="00762DD4"/>
    <w:rsid w:val="00763E18"/>
    <w:rsid w:val="0077251E"/>
    <w:rsid w:val="00772737"/>
    <w:rsid w:val="00773419"/>
    <w:rsid w:val="00792B28"/>
    <w:rsid w:val="007941BB"/>
    <w:rsid w:val="007947C5"/>
    <w:rsid w:val="007971E1"/>
    <w:rsid w:val="00797372"/>
    <w:rsid w:val="007A0898"/>
    <w:rsid w:val="007A0A9D"/>
    <w:rsid w:val="007B0E9A"/>
    <w:rsid w:val="007B68BA"/>
    <w:rsid w:val="007C2BBD"/>
    <w:rsid w:val="007D7DF2"/>
    <w:rsid w:val="007D7EFF"/>
    <w:rsid w:val="007F29E3"/>
    <w:rsid w:val="007F2AE4"/>
    <w:rsid w:val="00802606"/>
    <w:rsid w:val="008103F0"/>
    <w:rsid w:val="00811075"/>
    <w:rsid w:val="00815454"/>
    <w:rsid w:val="00822F57"/>
    <w:rsid w:val="00823C9D"/>
    <w:rsid w:val="00826ADF"/>
    <w:rsid w:val="00831F05"/>
    <w:rsid w:val="00834C8F"/>
    <w:rsid w:val="008355A9"/>
    <w:rsid w:val="00853AD1"/>
    <w:rsid w:val="00853BE5"/>
    <w:rsid w:val="00856BBC"/>
    <w:rsid w:val="00874AD6"/>
    <w:rsid w:val="00882D0B"/>
    <w:rsid w:val="0088386A"/>
    <w:rsid w:val="00892B2E"/>
    <w:rsid w:val="008A012C"/>
    <w:rsid w:val="008A42D8"/>
    <w:rsid w:val="008B5494"/>
    <w:rsid w:val="008B65D3"/>
    <w:rsid w:val="008C04BC"/>
    <w:rsid w:val="008C4772"/>
    <w:rsid w:val="008C60D7"/>
    <w:rsid w:val="008D31A4"/>
    <w:rsid w:val="008E02F9"/>
    <w:rsid w:val="008E7BF8"/>
    <w:rsid w:val="008F0750"/>
    <w:rsid w:val="008F4B43"/>
    <w:rsid w:val="008F53E0"/>
    <w:rsid w:val="0091183B"/>
    <w:rsid w:val="00917432"/>
    <w:rsid w:val="00923E78"/>
    <w:rsid w:val="00931D73"/>
    <w:rsid w:val="00933BEA"/>
    <w:rsid w:val="00935B9C"/>
    <w:rsid w:val="00971767"/>
    <w:rsid w:val="009826F0"/>
    <w:rsid w:val="009844D7"/>
    <w:rsid w:val="009934E7"/>
    <w:rsid w:val="009A3B78"/>
    <w:rsid w:val="009A4899"/>
    <w:rsid w:val="009B255B"/>
    <w:rsid w:val="009B2A73"/>
    <w:rsid w:val="009C287F"/>
    <w:rsid w:val="009D3204"/>
    <w:rsid w:val="009F0A3C"/>
    <w:rsid w:val="009F7828"/>
    <w:rsid w:val="00A036DE"/>
    <w:rsid w:val="00A03A70"/>
    <w:rsid w:val="00A06313"/>
    <w:rsid w:val="00A21A3F"/>
    <w:rsid w:val="00A37E65"/>
    <w:rsid w:val="00A37EDF"/>
    <w:rsid w:val="00A40938"/>
    <w:rsid w:val="00A410D4"/>
    <w:rsid w:val="00A42528"/>
    <w:rsid w:val="00A85B25"/>
    <w:rsid w:val="00AA1170"/>
    <w:rsid w:val="00AA3296"/>
    <w:rsid w:val="00AB0E4E"/>
    <w:rsid w:val="00AC42A5"/>
    <w:rsid w:val="00AC4FD3"/>
    <w:rsid w:val="00AC53B4"/>
    <w:rsid w:val="00AC5D0E"/>
    <w:rsid w:val="00AD29D4"/>
    <w:rsid w:val="00AD76DD"/>
    <w:rsid w:val="00AE286E"/>
    <w:rsid w:val="00AF1181"/>
    <w:rsid w:val="00AF6BBC"/>
    <w:rsid w:val="00B06891"/>
    <w:rsid w:val="00B17AD1"/>
    <w:rsid w:val="00B2551D"/>
    <w:rsid w:val="00B4096A"/>
    <w:rsid w:val="00B41ACF"/>
    <w:rsid w:val="00B466A8"/>
    <w:rsid w:val="00B52CA6"/>
    <w:rsid w:val="00B548B7"/>
    <w:rsid w:val="00B5511F"/>
    <w:rsid w:val="00B579E5"/>
    <w:rsid w:val="00B60646"/>
    <w:rsid w:val="00B63EA6"/>
    <w:rsid w:val="00B726CC"/>
    <w:rsid w:val="00B72C83"/>
    <w:rsid w:val="00B85BB7"/>
    <w:rsid w:val="00B8712F"/>
    <w:rsid w:val="00BA28DF"/>
    <w:rsid w:val="00BA3D81"/>
    <w:rsid w:val="00BB0172"/>
    <w:rsid w:val="00BB1E66"/>
    <w:rsid w:val="00BC6ABF"/>
    <w:rsid w:val="00BD5996"/>
    <w:rsid w:val="00BD5EB1"/>
    <w:rsid w:val="00BD7BB2"/>
    <w:rsid w:val="00BD7EC3"/>
    <w:rsid w:val="00BF44E4"/>
    <w:rsid w:val="00BF59A8"/>
    <w:rsid w:val="00BF7A2C"/>
    <w:rsid w:val="00C105FF"/>
    <w:rsid w:val="00C30D43"/>
    <w:rsid w:val="00C32664"/>
    <w:rsid w:val="00C32718"/>
    <w:rsid w:val="00C36318"/>
    <w:rsid w:val="00C377BC"/>
    <w:rsid w:val="00C46B67"/>
    <w:rsid w:val="00C476D3"/>
    <w:rsid w:val="00C512D3"/>
    <w:rsid w:val="00C535D2"/>
    <w:rsid w:val="00C543DE"/>
    <w:rsid w:val="00C65627"/>
    <w:rsid w:val="00C65805"/>
    <w:rsid w:val="00C677BA"/>
    <w:rsid w:val="00C71120"/>
    <w:rsid w:val="00C724BE"/>
    <w:rsid w:val="00C7682D"/>
    <w:rsid w:val="00C80877"/>
    <w:rsid w:val="00C871D1"/>
    <w:rsid w:val="00CA4D59"/>
    <w:rsid w:val="00CB53DA"/>
    <w:rsid w:val="00CB5712"/>
    <w:rsid w:val="00CC370D"/>
    <w:rsid w:val="00CC71CE"/>
    <w:rsid w:val="00CD0D9E"/>
    <w:rsid w:val="00CD613F"/>
    <w:rsid w:val="00CE11E3"/>
    <w:rsid w:val="00CF4807"/>
    <w:rsid w:val="00D068AE"/>
    <w:rsid w:val="00D10751"/>
    <w:rsid w:val="00D27ED4"/>
    <w:rsid w:val="00D33AE8"/>
    <w:rsid w:val="00D44340"/>
    <w:rsid w:val="00D45B49"/>
    <w:rsid w:val="00D57C03"/>
    <w:rsid w:val="00D664FC"/>
    <w:rsid w:val="00D812D0"/>
    <w:rsid w:val="00D83858"/>
    <w:rsid w:val="00D84B04"/>
    <w:rsid w:val="00D87C0F"/>
    <w:rsid w:val="00D9279B"/>
    <w:rsid w:val="00D9672F"/>
    <w:rsid w:val="00DB6241"/>
    <w:rsid w:val="00DB757E"/>
    <w:rsid w:val="00DC2B1B"/>
    <w:rsid w:val="00DC43AE"/>
    <w:rsid w:val="00DC607D"/>
    <w:rsid w:val="00DD0030"/>
    <w:rsid w:val="00DD7D2D"/>
    <w:rsid w:val="00DE18A2"/>
    <w:rsid w:val="00DF0987"/>
    <w:rsid w:val="00DF0A33"/>
    <w:rsid w:val="00E01478"/>
    <w:rsid w:val="00E0302C"/>
    <w:rsid w:val="00E06D17"/>
    <w:rsid w:val="00E07AE9"/>
    <w:rsid w:val="00E15D2D"/>
    <w:rsid w:val="00E1638D"/>
    <w:rsid w:val="00E202D1"/>
    <w:rsid w:val="00E30A8A"/>
    <w:rsid w:val="00E36F25"/>
    <w:rsid w:val="00E37BDF"/>
    <w:rsid w:val="00E5625B"/>
    <w:rsid w:val="00E80803"/>
    <w:rsid w:val="00E92BDA"/>
    <w:rsid w:val="00EA499D"/>
    <w:rsid w:val="00EB3C2A"/>
    <w:rsid w:val="00EC09D8"/>
    <w:rsid w:val="00EC6017"/>
    <w:rsid w:val="00ED0684"/>
    <w:rsid w:val="00ED06AC"/>
    <w:rsid w:val="00ED1CA9"/>
    <w:rsid w:val="00EE20C1"/>
    <w:rsid w:val="00EF117F"/>
    <w:rsid w:val="00F05957"/>
    <w:rsid w:val="00F05992"/>
    <w:rsid w:val="00F1041E"/>
    <w:rsid w:val="00F27DBE"/>
    <w:rsid w:val="00F36CE6"/>
    <w:rsid w:val="00F37E04"/>
    <w:rsid w:val="00F40E7E"/>
    <w:rsid w:val="00F46386"/>
    <w:rsid w:val="00F47CEC"/>
    <w:rsid w:val="00F5485C"/>
    <w:rsid w:val="00F67064"/>
    <w:rsid w:val="00F73446"/>
    <w:rsid w:val="00F82DF5"/>
    <w:rsid w:val="00F82F71"/>
    <w:rsid w:val="00F903BE"/>
    <w:rsid w:val="00F96160"/>
    <w:rsid w:val="00FA175C"/>
    <w:rsid w:val="00FB5E81"/>
    <w:rsid w:val="00FB6CA6"/>
    <w:rsid w:val="00FC6EB8"/>
    <w:rsid w:val="00FD4E92"/>
    <w:rsid w:val="00FE1105"/>
    <w:rsid w:val="00FE484C"/>
    <w:rsid w:val="00FF40F0"/>
    <w:rsid w:val="00FF4D81"/>
    <w:rsid w:val="00FF52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EDA6427-82B3-4599-B3F8-00C0EBAA1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Arial" w:hAnsi="Arial" w:cs="Arial"/>
      <w:sz w:val="24"/>
      <w:szCs w:val="24"/>
    </w:rPr>
  </w:style>
  <w:style w:type="paragraph" w:styleId="Nagwek2">
    <w:name w:val="heading 2"/>
    <w:basedOn w:val="Normalny"/>
    <w:next w:val="Normalny"/>
    <w:link w:val="Nagwek2Znak"/>
    <w:unhideWhenUsed/>
    <w:qFormat/>
    <w:rsid w:val="004223F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nhideWhenUsed/>
    <w:qFormat/>
    <w:rsid w:val="00DD7D2D"/>
    <w:pPr>
      <w:keepNext/>
      <w:keepLines/>
      <w:spacing w:before="40"/>
      <w:outlineLvl w:val="2"/>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character" w:customStyle="1" w:styleId="NagwekZnak">
    <w:name w:val="Nagłówek Znak"/>
    <w:basedOn w:val="Domylnaczcionkaakapitu"/>
    <w:link w:val="Nagwek"/>
    <w:rPr>
      <w:rFonts w:ascii="Arial" w:hAnsi="Arial" w:cs="Arial"/>
      <w:sz w:val="24"/>
      <w:szCs w:val="24"/>
    </w:rPr>
  </w:style>
  <w:style w:type="paragraph" w:styleId="Stopka">
    <w:name w:val="footer"/>
    <w:basedOn w:val="Normalny"/>
    <w:link w:val="StopkaZnak"/>
    <w:uiPriority w:val="99"/>
    <w:pPr>
      <w:tabs>
        <w:tab w:val="center" w:pos="4536"/>
        <w:tab w:val="right" w:pos="9072"/>
      </w:tabs>
    </w:pPr>
  </w:style>
  <w:style w:type="character" w:customStyle="1" w:styleId="StopkaZnak">
    <w:name w:val="Stopka Znak"/>
    <w:basedOn w:val="Domylnaczcionkaakapitu"/>
    <w:link w:val="Stopka"/>
    <w:uiPriority w:val="99"/>
    <w:rPr>
      <w:rFonts w:ascii="Arial" w:hAnsi="Arial" w:cs="Arial"/>
      <w:sz w:val="24"/>
      <w:szCs w:val="24"/>
    </w:rPr>
  </w:style>
  <w:style w:type="paragraph" w:customStyle="1" w:styleId="menfont">
    <w:name w:val="men font"/>
    <w:basedOn w:val="Normalny"/>
  </w:style>
  <w:style w:type="paragraph" w:styleId="NormalnyWeb">
    <w:name w:val="Normal (Web)"/>
    <w:basedOn w:val="Normalny"/>
    <w:uiPriority w:val="99"/>
    <w:unhideWhenUsed/>
    <w:rsid w:val="00C7682D"/>
    <w:pPr>
      <w:spacing w:before="100" w:beforeAutospacing="1" w:after="100" w:afterAutospacing="1"/>
    </w:pPr>
    <w:rPr>
      <w:rFonts w:ascii="Times New Roman" w:eastAsiaTheme="minorHAnsi" w:hAnsi="Times New Roman" w:cs="Times New Roman"/>
    </w:rPr>
  </w:style>
  <w:style w:type="character" w:styleId="Hipercze">
    <w:name w:val="Hyperlink"/>
    <w:basedOn w:val="Domylnaczcionkaakapitu"/>
    <w:rsid w:val="00C7682D"/>
    <w:rPr>
      <w:color w:val="0000FF" w:themeColor="hyperlink"/>
      <w:u w:val="single"/>
    </w:rPr>
  </w:style>
  <w:style w:type="character" w:styleId="Pogrubienie">
    <w:name w:val="Strong"/>
    <w:basedOn w:val="Domylnaczcionkaakapitu"/>
    <w:uiPriority w:val="22"/>
    <w:qFormat/>
    <w:rsid w:val="002E26FF"/>
    <w:rPr>
      <w:b/>
      <w:bCs/>
    </w:rPr>
  </w:style>
  <w:style w:type="paragraph" w:styleId="Tytu">
    <w:name w:val="Title"/>
    <w:basedOn w:val="Normalny"/>
    <w:link w:val="TytuZnak"/>
    <w:qFormat/>
    <w:rsid w:val="00613143"/>
    <w:pPr>
      <w:autoSpaceDE w:val="0"/>
      <w:autoSpaceDN w:val="0"/>
      <w:adjustRightInd w:val="0"/>
      <w:spacing w:line="300" w:lineRule="auto"/>
      <w:jc w:val="center"/>
    </w:pPr>
    <w:rPr>
      <w:rFonts w:cs="Times New Roman"/>
      <w:b/>
      <w:bCs/>
      <w:sz w:val="28"/>
    </w:rPr>
  </w:style>
  <w:style w:type="character" w:customStyle="1" w:styleId="TytuZnak">
    <w:name w:val="Tytuł Znak"/>
    <w:basedOn w:val="Domylnaczcionkaakapitu"/>
    <w:link w:val="Tytu"/>
    <w:rsid w:val="00613143"/>
    <w:rPr>
      <w:rFonts w:ascii="Arial" w:hAnsi="Arial"/>
      <w:b/>
      <w:bCs/>
      <w:sz w:val="28"/>
      <w:szCs w:val="24"/>
    </w:rPr>
  </w:style>
  <w:style w:type="character" w:customStyle="1" w:styleId="contact-street">
    <w:name w:val="contact-street"/>
    <w:basedOn w:val="Domylnaczcionkaakapitu"/>
    <w:rsid w:val="00C535D2"/>
  </w:style>
  <w:style w:type="character" w:customStyle="1" w:styleId="contact-telephone">
    <w:name w:val="contact-telephone"/>
    <w:basedOn w:val="Domylnaczcionkaakapitu"/>
    <w:rsid w:val="00C535D2"/>
  </w:style>
  <w:style w:type="character" w:styleId="Odwoaniedokomentarza">
    <w:name w:val="annotation reference"/>
    <w:basedOn w:val="Domylnaczcionkaakapitu"/>
    <w:rsid w:val="00223CCF"/>
    <w:rPr>
      <w:sz w:val="16"/>
      <w:szCs w:val="16"/>
    </w:rPr>
  </w:style>
  <w:style w:type="paragraph" w:styleId="Tekstkomentarza">
    <w:name w:val="annotation text"/>
    <w:basedOn w:val="Normalny"/>
    <w:link w:val="TekstkomentarzaZnak"/>
    <w:rsid w:val="00223CCF"/>
    <w:rPr>
      <w:sz w:val="20"/>
      <w:szCs w:val="20"/>
    </w:rPr>
  </w:style>
  <w:style w:type="character" w:customStyle="1" w:styleId="TekstkomentarzaZnak">
    <w:name w:val="Tekst komentarza Znak"/>
    <w:basedOn w:val="Domylnaczcionkaakapitu"/>
    <w:link w:val="Tekstkomentarza"/>
    <w:rsid w:val="00223CCF"/>
    <w:rPr>
      <w:rFonts w:ascii="Arial" w:hAnsi="Arial" w:cs="Arial"/>
    </w:rPr>
  </w:style>
  <w:style w:type="paragraph" w:styleId="Tematkomentarza">
    <w:name w:val="annotation subject"/>
    <w:basedOn w:val="Tekstkomentarza"/>
    <w:next w:val="Tekstkomentarza"/>
    <w:link w:val="TematkomentarzaZnak"/>
    <w:rsid w:val="00223CCF"/>
    <w:rPr>
      <w:b/>
      <w:bCs/>
    </w:rPr>
  </w:style>
  <w:style w:type="character" w:customStyle="1" w:styleId="TematkomentarzaZnak">
    <w:name w:val="Temat komentarza Znak"/>
    <w:basedOn w:val="TekstkomentarzaZnak"/>
    <w:link w:val="Tematkomentarza"/>
    <w:rsid w:val="00223CCF"/>
    <w:rPr>
      <w:rFonts w:ascii="Arial" w:hAnsi="Arial" w:cs="Arial"/>
      <w:b/>
      <w:bCs/>
    </w:rPr>
  </w:style>
  <w:style w:type="paragraph" w:styleId="Tekstdymka">
    <w:name w:val="Balloon Text"/>
    <w:basedOn w:val="Normalny"/>
    <w:link w:val="TekstdymkaZnak"/>
    <w:rsid w:val="00223CCF"/>
    <w:rPr>
      <w:rFonts w:ascii="Tahoma" w:hAnsi="Tahoma" w:cs="Tahoma"/>
      <w:sz w:val="16"/>
      <w:szCs w:val="16"/>
    </w:rPr>
  </w:style>
  <w:style w:type="character" w:customStyle="1" w:styleId="TekstdymkaZnak">
    <w:name w:val="Tekst dymka Znak"/>
    <w:basedOn w:val="Domylnaczcionkaakapitu"/>
    <w:link w:val="Tekstdymka"/>
    <w:rsid w:val="00223CCF"/>
    <w:rPr>
      <w:rFonts w:ascii="Tahoma" w:hAnsi="Tahoma" w:cs="Tahoma"/>
      <w:sz w:val="16"/>
      <w:szCs w:val="16"/>
    </w:rPr>
  </w:style>
  <w:style w:type="paragraph" w:styleId="Bezodstpw">
    <w:name w:val="No Spacing"/>
    <w:uiPriority w:val="1"/>
    <w:qFormat/>
    <w:rsid w:val="00196314"/>
    <w:rPr>
      <w:rFonts w:asciiTheme="minorHAnsi" w:eastAsiaTheme="minorHAnsi" w:hAnsiTheme="minorHAnsi" w:cstheme="minorBidi"/>
      <w:sz w:val="22"/>
      <w:szCs w:val="22"/>
      <w:lang w:eastAsia="en-US"/>
    </w:rPr>
  </w:style>
  <w:style w:type="paragraph" w:styleId="Akapitzlist">
    <w:name w:val="List Paragraph"/>
    <w:basedOn w:val="Normalny"/>
    <w:uiPriority w:val="34"/>
    <w:qFormat/>
    <w:rsid w:val="00AD29D4"/>
    <w:pPr>
      <w:ind w:left="720"/>
      <w:contextualSpacing/>
    </w:pPr>
  </w:style>
  <w:style w:type="table" w:styleId="Tabela-Siatka">
    <w:name w:val="Table Grid"/>
    <w:basedOn w:val="Standardowy"/>
    <w:rsid w:val="00234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4223F9"/>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rsid w:val="00DD7D2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63828">
      <w:bodyDiv w:val="1"/>
      <w:marLeft w:val="0"/>
      <w:marRight w:val="0"/>
      <w:marTop w:val="0"/>
      <w:marBottom w:val="0"/>
      <w:divBdr>
        <w:top w:val="none" w:sz="0" w:space="0" w:color="auto"/>
        <w:left w:val="none" w:sz="0" w:space="0" w:color="auto"/>
        <w:bottom w:val="none" w:sz="0" w:space="0" w:color="auto"/>
        <w:right w:val="none" w:sz="0" w:space="0" w:color="auto"/>
      </w:divBdr>
      <w:divsChild>
        <w:div w:id="883373947">
          <w:marLeft w:val="0"/>
          <w:marRight w:val="0"/>
          <w:marTop w:val="0"/>
          <w:marBottom w:val="0"/>
          <w:divBdr>
            <w:top w:val="none" w:sz="0" w:space="0" w:color="auto"/>
            <w:left w:val="none" w:sz="0" w:space="0" w:color="auto"/>
            <w:bottom w:val="none" w:sz="0" w:space="0" w:color="auto"/>
            <w:right w:val="none" w:sz="0" w:space="0" w:color="auto"/>
          </w:divBdr>
        </w:div>
      </w:divsChild>
    </w:div>
    <w:div w:id="194971396">
      <w:bodyDiv w:val="1"/>
      <w:marLeft w:val="0"/>
      <w:marRight w:val="0"/>
      <w:marTop w:val="0"/>
      <w:marBottom w:val="0"/>
      <w:divBdr>
        <w:top w:val="none" w:sz="0" w:space="0" w:color="auto"/>
        <w:left w:val="none" w:sz="0" w:space="0" w:color="auto"/>
        <w:bottom w:val="none" w:sz="0" w:space="0" w:color="auto"/>
        <w:right w:val="none" w:sz="0" w:space="0" w:color="auto"/>
      </w:divBdr>
      <w:divsChild>
        <w:div w:id="1473447199">
          <w:marLeft w:val="0"/>
          <w:marRight w:val="0"/>
          <w:marTop w:val="0"/>
          <w:marBottom w:val="0"/>
          <w:divBdr>
            <w:top w:val="single" w:sz="36" w:space="0" w:color="DCE0E3"/>
            <w:left w:val="none" w:sz="0" w:space="0" w:color="auto"/>
            <w:bottom w:val="none" w:sz="0" w:space="0" w:color="auto"/>
            <w:right w:val="none" w:sz="0" w:space="0" w:color="auto"/>
          </w:divBdr>
          <w:divsChild>
            <w:div w:id="1492677522">
              <w:marLeft w:val="0"/>
              <w:marRight w:val="0"/>
              <w:marTop w:val="0"/>
              <w:marBottom w:val="0"/>
              <w:divBdr>
                <w:top w:val="none" w:sz="0" w:space="0" w:color="auto"/>
                <w:left w:val="none" w:sz="0" w:space="0" w:color="auto"/>
                <w:bottom w:val="none" w:sz="0" w:space="0" w:color="auto"/>
                <w:right w:val="none" w:sz="0" w:space="0" w:color="auto"/>
              </w:divBdr>
              <w:divsChild>
                <w:div w:id="1973557522">
                  <w:marLeft w:val="0"/>
                  <w:marRight w:val="0"/>
                  <w:marTop w:val="225"/>
                  <w:marBottom w:val="225"/>
                  <w:divBdr>
                    <w:top w:val="none" w:sz="0" w:space="0" w:color="auto"/>
                    <w:left w:val="none" w:sz="0" w:space="0" w:color="auto"/>
                    <w:bottom w:val="none" w:sz="0" w:space="0" w:color="auto"/>
                    <w:right w:val="none" w:sz="0" w:space="0" w:color="auto"/>
                  </w:divBdr>
                  <w:divsChild>
                    <w:div w:id="264120916">
                      <w:marLeft w:val="0"/>
                      <w:marRight w:val="0"/>
                      <w:marTop w:val="0"/>
                      <w:marBottom w:val="0"/>
                      <w:divBdr>
                        <w:top w:val="none" w:sz="0" w:space="0" w:color="auto"/>
                        <w:left w:val="none" w:sz="0" w:space="0" w:color="auto"/>
                        <w:bottom w:val="none" w:sz="0" w:space="0" w:color="auto"/>
                        <w:right w:val="none" w:sz="0" w:space="0" w:color="auto"/>
                      </w:divBdr>
                      <w:divsChild>
                        <w:div w:id="1765566358">
                          <w:marLeft w:val="0"/>
                          <w:marRight w:val="0"/>
                          <w:marTop w:val="0"/>
                          <w:marBottom w:val="0"/>
                          <w:divBdr>
                            <w:top w:val="none" w:sz="0" w:space="0" w:color="auto"/>
                            <w:left w:val="none" w:sz="0" w:space="0" w:color="auto"/>
                            <w:bottom w:val="none" w:sz="0" w:space="0" w:color="auto"/>
                            <w:right w:val="none" w:sz="0" w:space="0" w:color="auto"/>
                          </w:divBdr>
                          <w:divsChild>
                            <w:div w:id="40410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516093">
      <w:bodyDiv w:val="1"/>
      <w:marLeft w:val="0"/>
      <w:marRight w:val="0"/>
      <w:marTop w:val="0"/>
      <w:marBottom w:val="0"/>
      <w:divBdr>
        <w:top w:val="none" w:sz="0" w:space="0" w:color="auto"/>
        <w:left w:val="none" w:sz="0" w:space="0" w:color="auto"/>
        <w:bottom w:val="none" w:sz="0" w:space="0" w:color="auto"/>
        <w:right w:val="none" w:sz="0" w:space="0" w:color="auto"/>
      </w:divBdr>
      <w:divsChild>
        <w:div w:id="968319890">
          <w:marLeft w:val="0"/>
          <w:marRight w:val="0"/>
          <w:marTop w:val="0"/>
          <w:marBottom w:val="0"/>
          <w:divBdr>
            <w:top w:val="none" w:sz="0" w:space="0" w:color="auto"/>
            <w:left w:val="none" w:sz="0" w:space="0" w:color="auto"/>
            <w:bottom w:val="none" w:sz="0" w:space="0" w:color="auto"/>
            <w:right w:val="none" w:sz="0" w:space="0" w:color="auto"/>
          </w:divBdr>
        </w:div>
        <w:div w:id="81952510">
          <w:marLeft w:val="0"/>
          <w:marRight w:val="0"/>
          <w:marTop w:val="0"/>
          <w:marBottom w:val="0"/>
          <w:divBdr>
            <w:top w:val="none" w:sz="0" w:space="0" w:color="auto"/>
            <w:left w:val="none" w:sz="0" w:space="0" w:color="auto"/>
            <w:bottom w:val="none" w:sz="0" w:space="0" w:color="auto"/>
            <w:right w:val="none" w:sz="0" w:space="0" w:color="auto"/>
          </w:divBdr>
        </w:div>
      </w:divsChild>
    </w:div>
    <w:div w:id="376395819">
      <w:bodyDiv w:val="1"/>
      <w:marLeft w:val="0"/>
      <w:marRight w:val="0"/>
      <w:marTop w:val="0"/>
      <w:marBottom w:val="0"/>
      <w:divBdr>
        <w:top w:val="none" w:sz="0" w:space="0" w:color="auto"/>
        <w:left w:val="none" w:sz="0" w:space="0" w:color="auto"/>
        <w:bottom w:val="none" w:sz="0" w:space="0" w:color="auto"/>
        <w:right w:val="none" w:sz="0" w:space="0" w:color="auto"/>
      </w:divBdr>
    </w:div>
    <w:div w:id="588152612">
      <w:bodyDiv w:val="1"/>
      <w:marLeft w:val="0"/>
      <w:marRight w:val="0"/>
      <w:marTop w:val="0"/>
      <w:marBottom w:val="0"/>
      <w:divBdr>
        <w:top w:val="none" w:sz="0" w:space="0" w:color="auto"/>
        <w:left w:val="none" w:sz="0" w:space="0" w:color="auto"/>
        <w:bottom w:val="none" w:sz="0" w:space="0" w:color="auto"/>
        <w:right w:val="none" w:sz="0" w:space="0" w:color="auto"/>
      </w:divBdr>
    </w:div>
    <w:div w:id="693844873">
      <w:bodyDiv w:val="1"/>
      <w:marLeft w:val="0"/>
      <w:marRight w:val="0"/>
      <w:marTop w:val="0"/>
      <w:marBottom w:val="0"/>
      <w:divBdr>
        <w:top w:val="none" w:sz="0" w:space="0" w:color="auto"/>
        <w:left w:val="none" w:sz="0" w:space="0" w:color="auto"/>
        <w:bottom w:val="none" w:sz="0" w:space="0" w:color="auto"/>
        <w:right w:val="none" w:sz="0" w:space="0" w:color="auto"/>
      </w:divBdr>
    </w:div>
    <w:div w:id="769201693">
      <w:bodyDiv w:val="1"/>
      <w:marLeft w:val="0"/>
      <w:marRight w:val="0"/>
      <w:marTop w:val="0"/>
      <w:marBottom w:val="0"/>
      <w:divBdr>
        <w:top w:val="none" w:sz="0" w:space="0" w:color="auto"/>
        <w:left w:val="none" w:sz="0" w:space="0" w:color="auto"/>
        <w:bottom w:val="none" w:sz="0" w:space="0" w:color="auto"/>
        <w:right w:val="none" w:sz="0" w:space="0" w:color="auto"/>
      </w:divBdr>
      <w:divsChild>
        <w:div w:id="2115854689">
          <w:marLeft w:val="0"/>
          <w:marRight w:val="0"/>
          <w:marTop w:val="0"/>
          <w:marBottom w:val="0"/>
          <w:divBdr>
            <w:top w:val="none" w:sz="0" w:space="0" w:color="auto"/>
            <w:left w:val="none" w:sz="0" w:space="0" w:color="auto"/>
            <w:bottom w:val="none" w:sz="0" w:space="0" w:color="auto"/>
            <w:right w:val="none" w:sz="0" w:space="0" w:color="auto"/>
          </w:divBdr>
        </w:div>
        <w:div w:id="1679426893">
          <w:marLeft w:val="0"/>
          <w:marRight w:val="0"/>
          <w:marTop w:val="0"/>
          <w:marBottom w:val="0"/>
          <w:divBdr>
            <w:top w:val="none" w:sz="0" w:space="0" w:color="auto"/>
            <w:left w:val="none" w:sz="0" w:space="0" w:color="auto"/>
            <w:bottom w:val="none" w:sz="0" w:space="0" w:color="auto"/>
            <w:right w:val="none" w:sz="0" w:space="0" w:color="auto"/>
          </w:divBdr>
        </w:div>
        <w:div w:id="1787308880">
          <w:marLeft w:val="0"/>
          <w:marRight w:val="0"/>
          <w:marTop w:val="0"/>
          <w:marBottom w:val="0"/>
          <w:divBdr>
            <w:top w:val="none" w:sz="0" w:space="0" w:color="auto"/>
            <w:left w:val="none" w:sz="0" w:space="0" w:color="auto"/>
            <w:bottom w:val="none" w:sz="0" w:space="0" w:color="auto"/>
            <w:right w:val="none" w:sz="0" w:space="0" w:color="auto"/>
          </w:divBdr>
        </w:div>
        <w:div w:id="1068113440">
          <w:marLeft w:val="0"/>
          <w:marRight w:val="0"/>
          <w:marTop w:val="0"/>
          <w:marBottom w:val="0"/>
          <w:divBdr>
            <w:top w:val="none" w:sz="0" w:space="0" w:color="auto"/>
            <w:left w:val="none" w:sz="0" w:space="0" w:color="auto"/>
            <w:bottom w:val="none" w:sz="0" w:space="0" w:color="auto"/>
            <w:right w:val="none" w:sz="0" w:space="0" w:color="auto"/>
          </w:divBdr>
        </w:div>
        <w:div w:id="1405566899">
          <w:marLeft w:val="0"/>
          <w:marRight w:val="0"/>
          <w:marTop w:val="0"/>
          <w:marBottom w:val="0"/>
          <w:divBdr>
            <w:top w:val="none" w:sz="0" w:space="0" w:color="auto"/>
            <w:left w:val="none" w:sz="0" w:space="0" w:color="auto"/>
            <w:bottom w:val="none" w:sz="0" w:space="0" w:color="auto"/>
            <w:right w:val="none" w:sz="0" w:space="0" w:color="auto"/>
          </w:divBdr>
        </w:div>
        <w:div w:id="1394163084">
          <w:marLeft w:val="0"/>
          <w:marRight w:val="0"/>
          <w:marTop w:val="0"/>
          <w:marBottom w:val="0"/>
          <w:divBdr>
            <w:top w:val="none" w:sz="0" w:space="0" w:color="auto"/>
            <w:left w:val="none" w:sz="0" w:space="0" w:color="auto"/>
            <w:bottom w:val="none" w:sz="0" w:space="0" w:color="auto"/>
            <w:right w:val="none" w:sz="0" w:space="0" w:color="auto"/>
          </w:divBdr>
        </w:div>
      </w:divsChild>
    </w:div>
    <w:div w:id="846136147">
      <w:bodyDiv w:val="1"/>
      <w:marLeft w:val="0"/>
      <w:marRight w:val="0"/>
      <w:marTop w:val="0"/>
      <w:marBottom w:val="0"/>
      <w:divBdr>
        <w:top w:val="none" w:sz="0" w:space="0" w:color="auto"/>
        <w:left w:val="none" w:sz="0" w:space="0" w:color="auto"/>
        <w:bottom w:val="none" w:sz="0" w:space="0" w:color="auto"/>
        <w:right w:val="none" w:sz="0" w:space="0" w:color="auto"/>
      </w:divBdr>
    </w:div>
    <w:div w:id="936525035">
      <w:bodyDiv w:val="1"/>
      <w:marLeft w:val="0"/>
      <w:marRight w:val="0"/>
      <w:marTop w:val="0"/>
      <w:marBottom w:val="0"/>
      <w:divBdr>
        <w:top w:val="none" w:sz="0" w:space="0" w:color="auto"/>
        <w:left w:val="none" w:sz="0" w:space="0" w:color="auto"/>
        <w:bottom w:val="none" w:sz="0" w:space="0" w:color="auto"/>
        <w:right w:val="none" w:sz="0" w:space="0" w:color="auto"/>
      </w:divBdr>
    </w:div>
    <w:div w:id="1002586072">
      <w:bodyDiv w:val="1"/>
      <w:marLeft w:val="0"/>
      <w:marRight w:val="0"/>
      <w:marTop w:val="0"/>
      <w:marBottom w:val="0"/>
      <w:divBdr>
        <w:top w:val="none" w:sz="0" w:space="0" w:color="auto"/>
        <w:left w:val="none" w:sz="0" w:space="0" w:color="auto"/>
        <w:bottom w:val="none" w:sz="0" w:space="0" w:color="auto"/>
        <w:right w:val="none" w:sz="0" w:space="0" w:color="auto"/>
      </w:divBdr>
    </w:div>
    <w:div w:id="1029330309">
      <w:bodyDiv w:val="1"/>
      <w:marLeft w:val="0"/>
      <w:marRight w:val="0"/>
      <w:marTop w:val="0"/>
      <w:marBottom w:val="0"/>
      <w:divBdr>
        <w:top w:val="none" w:sz="0" w:space="0" w:color="auto"/>
        <w:left w:val="none" w:sz="0" w:space="0" w:color="auto"/>
        <w:bottom w:val="none" w:sz="0" w:space="0" w:color="auto"/>
        <w:right w:val="none" w:sz="0" w:space="0" w:color="auto"/>
      </w:divBdr>
    </w:div>
    <w:div w:id="1325351378">
      <w:bodyDiv w:val="1"/>
      <w:marLeft w:val="0"/>
      <w:marRight w:val="0"/>
      <w:marTop w:val="0"/>
      <w:marBottom w:val="0"/>
      <w:divBdr>
        <w:top w:val="none" w:sz="0" w:space="0" w:color="auto"/>
        <w:left w:val="none" w:sz="0" w:space="0" w:color="auto"/>
        <w:bottom w:val="none" w:sz="0" w:space="0" w:color="auto"/>
        <w:right w:val="none" w:sz="0" w:space="0" w:color="auto"/>
      </w:divBdr>
      <w:divsChild>
        <w:div w:id="627590391">
          <w:marLeft w:val="0"/>
          <w:marRight w:val="0"/>
          <w:marTop w:val="0"/>
          <w:marBottom w:val="0"/>
          <w:divBdr>
            <w:top w:val="none" w:sz="0" w:space="0" w:color="auto"/>
            <w:left w:val="none" w:sz="0" w:space="0" w:color="auto"/>
            <w:bottom w:val="none" w:sz="0" w:space="0" w:color="auto"/>
            <w:right w:val="none" w:sz="0" w:space="0" w:color="auto"/>
          </w:divBdr>
        </w:div>
      </w:divsChild>
    </w:div>
    <w:div w:id="1412047738">
      <w:bodyDiv w:val="1"/>
      <w:marLeft w:val="0"/>
      <w:marRight w:val="0"/>
      <w:marTop w:val="0"/>
      <w:marBottom w:val="0"/>
      <w:divBdr>
        <w:top w:val="none" w:sz="0" w:space="0" w:color="auto"/>
        <w:left w:val="none" w:sz="0" w:space="0" w:color="auto"/>
        <w:bottom w:val="none" w:sz="0" w:space="0" w:color="auto"/>
        <w:right w:val="none" w:sz="0" w:space="0" w:color="auto"/>
      </w:divBdr>
      <w:divsChild>
        <w:div w:id="1415860609">
          <w:marLeft w:val="0"/>
          <w:marRight w:val="0"/>
          <w:marTop w:val="0"/>
          <w:marBottom w:val="0"/>
          <w:divBdr>
            <w:top w:val="none" w:sz="0" w:space="0" w:color="auto"/>
            <w:left w:val="none" w:sz="0" w:space="0" w:color="auto"/>
            <w:bottom w:val="none" w:sz="0" w:space="0" w:color="auto"/>
            <w:right w:val="none" w:sz="0" w:space="0" w:color="auto"/>
          </w:divBdr>
          <w:divsChild>
            <w:div w:id="546844787">
              <w:marLeft w:val="0"/>
              <w:marRight w:val="0"/>
              <w:marTop w:val="0"/>
              <w:marBottom w:val="0"/>
              <w:divBdr>
                <w:top w:val="none" w:sz="0" w:space="0" w:color="auto"/>
                <w:left w:val="none" w:sz="0" w:space="0" w:color="auto"/>
                <w:bottom w:val="none" w:sz="0" w:space="0" w:color="auto"/>
                <w:right w:val="none" w:sz="0" w:space="0" w:color="auto"/>
              </w:divBdr>
              <w:divsChild>
                <w:div w:id="2007633201">
                  <w:marLeft w:val="0"/>
                  <w:marRight w:val="0"/>
                  <w:marTop w:val="0"/>
                  <w:marBottom w:val="0"/>
                  <w:divBdr>
                    <w:top w:val="none" w:sz="0" w:space="0" w:color="auto"/>
                    <w:left w:val="none" w:sz="0" w:space="0" w:color="auto"/>
                    <w:bottom w:val="single" w:sz="6" w:space="0" w:color="EAEAEA"/>
                    <w:right w:val="none" w:sz="0" w:space="0" w:color="auto"/>
                  </w:divBdr>
                  <w:divsChild>
                    <w:div w:id="2089308242">
                      <w:marLeft w:val="0"/>
                      <w:marRight w:val="0"/>
                      <w:marTop w:val="0"/>
                      <w:marBottom w:val="0"/>
                      <w:divBdr>
                        <w:top w:val="single" w:sz="6" w:space="15" w:color="EAEAEA"/>
                        <w:left w:val="single" w:sz="6" w:space="15" w:color="EAEAEA"/>
                        <w:bottom w:val="single" w:sz="6" w:space="15" w:color="EAEAEA"/>
                        <w:right w:val="single" w:sz="6" w:space="15" w:color="EAEAEA"/>
                      </w:divBdr>
                      <w:divsChild>
                        <w:div w:id="23094753">
                          <w:marLeft w:val="0"/>
                          <w:marRight w:val="0"/>
                          <w:marTop w:val="0"/>
                          <w:marBottom w:val="0"/>
                          <w:divBdr>
                            <w:top w:val="none" w:sz="0" w:space="0" w:color="auto"/>
                            <w:left w:val="none" w:sz="0" w:space="0" w:color="auto"/>
                            <w:bottom w:val="none" w:sz="0" w:space="0" w:color="auto"/>
                            <w:right w:val="none" w:sz="0" w:space="0" w:color="auto"/>
                          </w:divBdr>
                          <w:divsChild>
                            <w:div w:id="155193999">
                              <w:marLeft w:val="0"/>
                              <w:marRight w:val="0"/>
                              <w:marTop w:val="0"/>
                              <w:marBottom w:val="0"/>
                              <w:divBdr>
                                <w:top w:val="none" w:sz="0" w:space="0" w:color="auto"/>
                                <w:left w:val="none" w:sz="0" w:space="0" w:color="auto"/>
                                <w:bottom w:val="none" w:sz="0" w:space="0" w:color="auto"/>
                                <w:right w:val="none" w:sz="0" w:space="0" w:color="auto"/>
                              </w:divBdr>
                              <w:divsChild>
                                <w:div w:id="85584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977815">
      <w:bodyDiv w:val="1"/>
      <w:marLeft w:val="0"/>
      <w:marRight w:val="0"/>
      <w:marTop w:val="0"/>
      <w:marBottom w:val="0"/>
      <w:divBdr>
        <w:top w:val="none" w:sz="0" w:space="0" w:color="auto"/>
        <w:left w:val="none" w:sz="0" w:space="0" w:color="auto"/>
        <w:bottom w:val="none" w:sz="0" w:space="0" w:color="auto"/>
        <w:right w:val="none" w:sz="0" w:space="0" w:color="auto"/>
      </w:divBdr>
      <w:divsChild>
        <w:div w:id="1473206662">
          <w:marLeft w:val="0"/>
          <w:marRight w:val="0"/>
          <w:marTop w:val="0"/>
          <w:marBottom w:val="0"/>
          <w:divBdr>
            <w:top w:val="none" w:sz="0" w:space="0" w:color="auto"/>
            <w:left w:val="none" w:sz="0" w:space="0" w:color="auto"/>
            <w:bottom w:val="none" w:sz="0" w:space="0" w:color="auto"/>
            <w:right w:val="none" w:sz="0" w:space="0" w:color="auto"/>
          </w:divBdr>
        </w:div>
        <w:div w:id="190143193">
          <w:marLeft w:val="0"/>
          <w:marRight w:val="0"/>
          <w:marTop w:val="0"/>
          <w:marBottom w:val="0"/>
          <w:divBdr>
            <w:top w:val="none" w:sz="0" w:space="0" w:color="auto"/>
            <w:left w:val="none" w:sz="0" w:space="0" w:color="auto"/>
            <w:bottom w:val="none" w:sz="0" w:space="0" w:color="auto"/>
            <w:right w:val="none" w:sz="0" w:space="0" w:color="auto"/>
          </w:divBdr>
        </w:div>
      </w:divsChild>
    </w:div>
    <w:div w:id="1623030809">
      <w:bodyDiv w:val="1"/>
      <w:marLeft w:val="0"/>
      <w:marRight w:val="0"/>
      <w:marTop w:val="0"/>
      <w:marBottom w:val="0"/>
      <w:divBdr>
        <w:top w:val="none" w:sz="0" w:space="0" w:color="auto"/>
        <w:left w:val="none" w:sz="0" w:space="0" w:color="auto"/>
        <w:bottom w:val="none" w:sz="0" w:space="0" w:color="auto"/>
        <w:right w:val="none" w:sz="0" w:space="0" w:color="auto"/>
      </w:divBdr>
    </w:div>
    <w:div w:id="1634629779">
      <w:bodyDiv w:val="1"/>
      <w:marLeft w:val="0"/>
      <w:marRight w:val="0"/>
      <w:marTop w:val="0"/>
      <w:marBottom w:val="0"/>
      <w:divBdr>
        <w:top w:val="none" w:sz="0" w:space="0" w:color="auto"/>
        <w:left w:val="none" w:sz="0" w:space="0" w:color="auto"/>
        <w:bottom w:val="none" w:sz="0" w:space="0" w:color="auto"/>
        <w:right w:val="none" w:sz="0" w:space="0" w:color="auto"/>
      </w:divBdr>
    </w:div>
    <w:div w:id="1765347281">
      <w:bodyDiv w:val="1"/>
      <w:marLeft w:val="0"/>
      <w:marRight w:val="0"/>
      <w:marTop w:val="0"/>
      <w:marBottom w:val="0"/>
      <w:divBdr>
        <w:top w:val="none" w:sz="0" w:space="0" w:color="auto"/>
        <w:left w:val="none" w:sz="0" w:space="0" w:color="auto"/>
        <w:bottom w:val="none" w:sz="0" w:space="0" w:color="auto"/>
        <w:right w:val="none" w:sz="0" w:space="0" w:color="auto"/>
      </w:divBdr>
    </w:div>
    <w:div w:id="1927953549">
      <w:bodyDiv w:val="1"/>
      <w:marLeft w:val="0"/>
      <w:marRight w:val="0"/>
      <w:marTop w:val="0"/>
      <w:marBottom w:val="0"/>
      <w:divBdr>
        <w:top w:val="none" w:sz="0" w:space="0" w:color="auto"/>
        <w:left w:val="none" w:sz="0" w:space="0" w:color="auto"/>
        <w:bottom w:val="none" w:sz="0" w:space="0" w:color="auto"/>
        <w:right w:val="none" w:sz="0" w:space="0" w:color="auto"/>
      </w:divBdr>
    </w:div>
    <w:div w:id="1964654194">
      <w:bodyDiv w:val="1"/>
      <w:marLeft w:val="0"/>
      <w:marRight w:val="0"/>
      <w:marTop w:val="0"/>
      <w:marBottom w:val="0"/>
      <w:divBdr>
        <w:top w:val="none" w:sz="0" w:space="0" w:color="auto"/>
        <w:left w:val="none" w:sz="0" w:space="0" w:color="auto"/>
        <w:bottom w:val="none" w:sz="0" w:space="0" w:color="auto"/>
        <w:right w:val="none" w:sz="0" w:space="0" w:color="auto"/>
      </w:divBdr>
    </w:div>
    <w:div w:id="2035183677">
      <w:bodyDiv w:val="1"/>
      <w:marLeft w:val="0"/>
      <w:marRight w:val="0"/>
      <w:marTop w:val="0"/>
      <w:marBottom w:val="0"/>
      <w:divBdr>
        <w:top w:val="none" w:sz="0" w:space="0" w:color="auto"/>
        <w:left w:val="none" w:sz="0" w:space="0" w:color="auto"/>
        <w:bottom w:val="none" w:sz="0" w:space="0" w:color="auto"/>
        <w:right w:val="none" w:sz="0" w:space="0" w:color="auto"/>
      </w:divBdr>
    </w:div>
    <w:div w:id="2048723393">
      <w:bodyDiv w:val="1"/>
      <w:marLeft w:val="0"/>
      <w:marRight w:val="0"/>
      <w:marTop w:val="0"/>
      <w:marBottom w:val="0"/>
      <w:divBdr>
        <w:top w:val="none" w:sz="0" w:space="0" w:color="auto"/>
        <w:left w:val="none" w:sz="0" w:space="0" w:color="auto"/>
        <w:bottom w:val="none" w:sz="0" w:space="0" w:color="auto"/>
        <w:right w:val="none" w:sz="0" w:space="0" w:color="auto"/>
      </w:divBdr>
    </w:div>
    <w:div w:id="210098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7E293-8E37-42FE-9ACC-1CE736860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1967</Words>
  <Characters>11805</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www.webmastersi.com.pl</Company>
  <LinksUpToDate>false</LinksUpToDate>
  <CharactersWithSpaces>13745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Mirosław Król</dc:creator>
  <cp:lastModifiedBy>Chodakowska, Marzena</cp:lastModifiedBy>
  <cp:revision>2</cp:revision>
  <cp:lastPrinted>2020-03-10T19:49:00Z</cp:lastPrinted>
  <dcterms:created xsi:type="dcterms:W3CDTF">2020-10-28T12:33:00Z</dcterms:created>
  <dcterms:modified xsi:type="dcterms:W3CDTF">2020-10-28T12:33:00Z</dcterms:modified>
</cp:coreProperties>
</file>